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spreadsheetml.shee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extendedCharts/chart.xml" ContentType="application/vnd.ms-office.chartex+xml"/>
  <Override PartName="/word/extendedCharts/style.xml" ContentType="application/vnd.ms-office.chartstyle+xml"/>
  <Override PartName="/word/extendedCharts/colors.xml" ContentType="application/vnd.ms-office.chartcolorstyle+xml"/>
  <Override PartName="/word/extendedCharts/chart2.xml" ContentType="application/vnd.ms-office.chartex+xml"/>
  <Override PartName="/word/extendedCharts/style2.xml" ContentType="application/vnd.ms-office.chartstyle+xml"/>
  <Override PartName="/word/extendedCharts/colors2.xml" ContentType="application/vnd.ms-office.chartcolorstyle+xml"/>
  <Override PartName="/word/charts/chart12.xml" ContentType="application/vnd.openxmlformats-officedocument.drawingml.char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80de477a74d05" /><Relationship Type="http://schemas.openxmlformats.org/package/2006/relationships/metadata/core-properties" Target="/docProps/core.xml" Id="R76bfbc0b23e4402e" /><Relationship Type="http://schemas.openxmlformats.org/officeDocument/2006/relationships/extended-properties" Target="/docProps/app.xml" Id="R50cb6db8e8aa4382" /><Relationship Type="http://schemas.openxmlformats.org/officeDocument/2006/relationships/custom-properties" Target="/docProps/custom.xml" Id="Ree227d85643e4b62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">
  <w:body>
    <w:p w14:paraId="00100000" w14:textId="00100001">
      <w:pPr>
        <w:pStyle w:val="Heading1"/>
        <w:jc w:val="center"/>
      </w:pPr>
      <w:r>
        <w:rPr/>
        <w:t xml:space="preserve">Word Charts Showcase</w:t>
      </w:r>
    </w:p>
    <w:p w14:paraId="00100002" w14:textId="00100003">
      <w:pPr/>
      <w:r>
        <w:rPr/>
        <w:t xml:space="preserve">Each chart below is an inline DrawingML object anchored on its own paragraph. Charts are addressed document-globally as /chart[N].</w:t>
      </w:r>
    </w:p>
    <w:p w14:paraId="00100004" w14:textId="00100005">
      <w:pPr>
        <w:pStyle w:val="Heading2"/>
      </w:pPr>
      <w:r>
        <w:rPr/>
        <w:t xml:space="preserve">1. Column — axis titles, scaling &amp; gridlines</w:t>
      </w:r>
    </w:p>
    <w:p w14:paraId="00100006" w14:textId="00100007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1" name="Quarterly Revenue by Region"/>
            <wp:cNvGraphicFramePr/>
            <a:graphic>
              <a:graphicData uri="http://schemas.openxmlformats.org/drawingml/2006/chart">
                <c:chart xmlns:c="http://schemas.openxmlformats.org/drawingml/2006/chart" r:id="R1a3ceb0de65842be"/>
              </a:graphicData>
            </a:graphic>
          </wp:inline>
        </w:drawing>
      </w:r>
    </w:p>
    <w:p w14:paraId="00100008" w14:textId="00100009">
      <w:pPr>
        <w:pStyle w:val="Heading2"/>
      </w:pPr>
      <w:r>
        <w:rPr/>
        <w:t xml:space="preserve">2. Bar — gap width &amp; data labels</w:t>
      </w:r>
    </w:p>
    <w:p w14:paraId="0010000A" w14:textId="0010000B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2" name="Product Units Sold"/>
            <wp:cNvGraphicFramePr/>
            <a:graphic>
              <a:graphicData uri="http://schemas.openxmlformats.org/drawingml/2006/chart">
                <c:chart xmlns:c="http://schemas.openxmlformats.org/drawingml/2006/chart" r:id="R43b28975d4c34394"/>
              </a:graphicData>
            </a:graphic>
          </wp:inline>
        </w:drawing>
      </w:r>
    </w:p>
    <w:p w14:paraId="0010000C" w14:textId="0010000D">
      <w:pPr>
        <w:pStyle w:val="Heading2"/>
      </w:pPr>
      <w:r>
        <w:rPr/>
        <w:t xml:space="preserve">3. Line — markers, smoothing &amp; drop lines</w:t>
      </w:r>
    </w:p>
    <w:p w14:paraId="0010000E" w14:textId="0010000F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3" name="Monthly Active Users"/>
            <wp:cNvGraphicFramePr/>
            <a:graphic>
              <a:graphicData uri="http://schemas.openxmlformats.org/drawingml/2006/chart">
                <c:chart xmlns:c="http://schemas.openxmlformats.org/drawingml/2006/chart" r:id="R0af30dfb82f54098"/>
              </a:graphicData>
            </a:graphic>
          </wp:inline>
        </w:drawing>
      </w:r>
    </w:p>
    <w:p w14:paraId="00100010" w14:textId="00100011">
      <w:pPr>
        <w:pStyle w:val="Heading2"/>
      </w:pPr>
      <w:r>
        <w:rPr/>
        <w:t xml:space="preserve">4. Pie — percent labels &amp; slice explosion</w:t>
      </w:r>
    </w:p>
    <w:p w14:paraId="00100012" w14:textId="00100013">
      <w:pPr/>
      <w:r>
        <w:rPr/>
        <w:t xml:space="preserve"/>
      </w:r>
      <w:r>
        <w:drawing>
          <wp:inline distT="0" distB="0" distL="0" distR="0">
            <wp:extent cx="5040000" cy="3240000"/>
            <wp:effectExtent l="0" t="0" r="0" b="0"/>
            <wp:docPr id="4" name="Market Share"/>
            <wp:cNvGraphicFramePr/>
            <a:graphic>
              <a:graphicData uri="http://schemas.openxmlformats.org/drawingml/2006/chart">
                <c:chart xmlns:c="http://schemas.openxmlformats.org/drawingml/2006/chart" r:id="R79cdd7aed2f34cc1"/>
              </a:graphicData>
            </a:graphic>
          </wp:inline>
        </w:drawing>
      </w:r>
    </w:p>
    <w:p w14:paraId="00100014" w14:textId="00100015">
      <w:pPr>
        <w:pStyle w:val="Heading2"/>
      </w:pPr>
      <w:r>
        <w:rPr/>
        <w:t xml:space="preserve">5. Area — gradient fill (areafill)</w:t>
      </w:r>
    </w:p>
    <w:p w14:paraId="00100016" w14:textId="00100017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5" name="Cumulative Traffic"/>
            <wp:cNvGraphicFramePr/>
            <a:graphic>
              <a:graphicData uri="http://schemas.openxmlformats.org/drawingml/2006/chart">
                <c:chart xmlns:c="http://schemas.openxmlformats.org/drawingml/2006/chart" r:id="R1576e732056b4775"/>
              </a:graphicData>
            </a:graphic>
          </wp:inline>
        </w:drawing>
      </w:r>
    </w:p>
    <w:p w14:paraId="00100018" w14:textId="00100019">
      <w:pPr>
        <w:pStyle w:val="Heading2"/>
      </w:pPr>
      <w:r>
        <w:rPr/>
        <w:t xml:space="preserve">6. Scatter — smoothMarker style</w:t>
      </w:r>
    </w:p>
    <w:p w14:paraId="0010001A" w14:textId="0010001B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6" name="Load vs Response Time"/>
            <wp:cNvGraphicFramePr/>
            <a:graphic>
              <a:graphicData uri="http://schemas.openxmlformats.org/drawingml/2006/chart">
                <c:chart xmlns:c="http://schemas.openxmlformats.org/drawingml/2006/chart" r:id="Rbb558a013caa4a2f"/>
              </a:graphicData>
            </a:graphic>
          </wp:inline>
        </w:drawing>
      </w:r>
    </w:p>
    <w:p w14:paraId="0010001C" w14:textId="0010001D">
      <w:pPr>
        <w:pStyle w:val="Heading2"/>
      </w:pPr>
      <w:r>
        <w:rPr/>
        <w:t xml:space="preserve">7. Radar — filled style (radarstyle)</w:t>
      </w:r>
    </w:p>
    <w:p w14:paraId="0010001E" w14:textId="0010001F">
      <w:pPr/>
      <w:r>
        <w:rPr/>
        <w:t xml:space="preserve"/>
      </w:r>
      <w:r>
        <w:drawing>
          <wp:inline distT="0" distB="0" distL="0" distR="0">
            <wp:extent cx="5040000" cy="3600000"/>
            <wp:effectExtent l="0" t="0" r="0" b="0"/>
            <wp:docPr id="7" name="Product Comparison"/>
            <wp:cNvGraphicFramePr/>
            <a:graphic>
              <a:graphicData uri="http://schemas.openxmlformats.org/drawingml/2006/chart">
                <c:chart xmlns:c="http://schemas.openxmlformats.org/drawingml/2006/chart" r:id="R4e19e0c3c31a406a"/>
              </a:graphicData>
            </a:graphic>
          </wp:inline>
        </w:drawing>
      </w:r>
    </w:p>
    <w:p w14:paraId="00100020" w14:textId="00100021">
      <w:pPr>
        <w:pStyle w:val="Heading2"/>
      </w:pPr>
      <w:r>
        <w:rPr/>
        <w:t xml:space="preserve">8. Doughnut — hole size &amp; percent labels</w:t>
      </w:r>
    </w:p>
    <w:p w14:paraId="00100022" w14:textId="00100023">
      <w:pPr/>
      <w:r>
        <w:rPr/>
        <w:t xml:space="preserve"/>
      </w:r>
      <w:r>
        <w:drawing>
          <wp:inline distT="0" distB="0" distL="0" distR="0">
            <wp:extent cx="5040000" cy="3240000"/>
            <wp:effectExtent l="0" t="0" r="0" b="0"/>
            <wp:docPr id="8" name="Budget Allocation"/>
            <wp:cNvGraphicFramePr/>
            <a:graphic>
              <a:graphicData uri="http://schemas.openxmlformats.org/drawingml/2006/chart">
                <c:chart xmlns:c="http://schemas.openxmlformats.org/drawingml/2006/chart" r:id="R387d7e5539e8429f"/>
              </a:graphicData>
            </a:graphic>
          </wp:inline>
        </w:drawing>
      </w:r>
    </w:p>
    <w:p w14:paraId="00100024" w14:textId="00100025">
      <w:pPr>
        <w:pStyle w:val="Heading2"/>
      </w:pPr>
      <w:r>
        <w:rPr/>
        <w:t xml:space="preserve">9. Stock — high / low / close series</w:t>
      </w:r>
    </w:p>
    <w:p w14:paraId="00100026" w14:textId="00100027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9" name="Share Price (5 Days)"/>
            <wp:cNvGraphicFramePr/>
            <a:graphic>
              <a:graphicData uri="http://schemas.openxmlformats.org/drawingml/2006/chart">
                <c:chart xmlns:c="http://schemas.openxmlformats.org/drawingml/2006/chart" r:id="R5a51f04d328d4597"/>
              </a:graphicData>
            </a:graphic>
          </wp:inline>
        </w:drawing>
      </w:r>
    </w:p>
    <w:p w14:paraId="00100028" w14:textId="00100029">
      <w:pPr>
        <w:pStyle w:val="Heading2"/>
      </w:pPr>
      <w:r>
        <w:rPr/>
        <w:t xml:space="preserve">10. Combo — column + line on secondary axis</w:t>
      </w:r>
    </w:p>
    <w:p w14:paraId="0010002A" w14:textId="0010002B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10" name="Revenue vs Growth Rate"/>
            <wp:cNvGraphicFramePr/>
            <a:graphic>
              <a:graphicData uri="http://schemas.openxmlformats.org/drawingml/2006/chart">
                <c:chart xmlns:c="http://schemas.openxmlformats.org/drawingml/2006/chart" r:id="Rb6af5461d7d845ad"/>
              </a:graphicData>
            </a:graphic>
          </wp:inline>
        </w:drawing>
      </w:r>
    </w:p>
    <w:p w14:paraId="0010002C" w14:textId="0010002D">
      <w:pPr>
        <w:pStyle w:val="Heading2"/>
      </w:pPr>
      <w:r>
        <w:rPr/>
        <w:t xml:space="preserve">11. Column — display units &amp; rounded corners</w:t>
      </w:r>
    </w:p>
    <w:p w14:paraId="0010002E" w14:textId="0010002F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11" name="Revenue (in Thousands)"/>
            <wp:cNvGraphicFramePr/>
            <a:graphic>
              <a:graphicData uri="http://schemas.openxmlformats.org/drawingml/2006/chart">
                <c:chart xmlns:c="http://schemas.openxmlformats.org/drawingml/2006/chart" r:id="Re1ddfad317e74e94"/>
              </a:graphicData>
            </a:graphic>
          </wp:inline>
        </w:drawing>
      </w:r>
    </w:p>
    <w:p w14:paraId="00100030" w14:textId="00100031">
      <w:pPr>
        <w:pStyle w:val="Heading2"/>
      </w:pPr>
      <w:r>
        <w:rPr/>
        <w:t xml:space="preserve">12. Funnel — extended (cx) chart</w:t>
      </w:r>
    </w:p>
    <w:p w14:paraId="00100032" w14:textId="00100033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12" name="Sales Funnel"/>
            <wp:cNvGraphicFramePr/>
            <a:graphic>
              <a:graphicData uri="http://schemas.microsoft.com/office/drawing/2014/chartex">
                <cx:chart xmlns:cx="http://schemas.microsoft.com/office/drawing/2014/chartex" r:id="R350416843ad14580"/>
              </a:graphicData>
            </a:graphic>
          </wp:inline>
        </w:drawing>
      </w:r>
    </w:p>
    <w:p w14:paraId="00100034" w14:textId="00100035">
      <w:pPr>
        <w:pStyle w:val="Heading2"/>
      </w:pPr>
      <w:r>
        <w:rPr/>
        <w:t xml:space="preserve">13. Treemap — extended (cx) chart</w:t>
      </w:r>
    </w:p>
    <w:p w14:paraId="00100036" w14:textId="00100037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13" name="Storage by File Type"/>
            <wp:cNvGraphicFramePr/>
            <a:graphic>
              <a:graphicData uri="http://schemas.microsoft.com/office/drawing/2014/chartex">
                <cx:chart xmlns:cx="http://schemas.microsoft.com/office/drawing/2014/chartex" r:id="Rabf523e864ba4f0a"/>
              </a:graphicData>
            </a:graphic>
          </wp:inline>
        </w:drawing>
      </w:r>
    </w:p>
    <w:p w14:paraId="00100038" w14:textId="00100039">
      <w:pPr>
        <w:pStyle w:val="Heading2"/>
      </w:pPr>
      <w:r>
        <w:rPr/>
        <w:t xml:space="preserve">14. Waterfall — increase / decrease / total colors</w:t>
      </w:r>
    </w:p>
    <w:p w14:paraId="0010003A" w14:textId="0010003B">
      <w:pPr/>
      <w:r>
        <w:rPr/>
        <w:t xml:space="preserve"/>
      </w:r>
      <w:r>
        <w:drawing>
          <wp:inline distT="0" distB="0" distL="0" distR="0">
            <wp:extent cx="5760000" cy="3240000"/>
            <wp:effectExtent l="0" t="0" r="0" b="0"/>
            <wp:docPr id="14" name="Cash Flow"/>
            <wp:cNvGraphicFramePr/>
            <a:graphic>
              <a:graphicData uri="http://schemas.openxmlformats.org/drawingml/2006/chart">
                <c:chart xmlns:c="http://schemas.openxmlformats.org/drawingml/2006/chart" r:id="R32de81ca8b524fd8"/>
              </a:graphicData>
            </a:graphic>
          </wp:inline>
        </w:drawing>
      </w:r>
    </w:p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c45e997658c4e7e" /><Relationship Type="http://schemas.openxmlformats.org/officeDocument/2006/relationships/styles" Target="/word/styles.xml" Id="R1fb8246b1b194393" /><Relationship Type="http://schemas.openxmlformats.org/officeDocument/2006/relationships/theme" Target="/word/theme/theme1.xml" Id="R5afc744217a04e43" /><Relationship Type="http://schemas.openxmlformats.org/officeDocument/2006/relationships/numbering" Target="/word/numbering.xml" Id="R9e2c3c1bb72d49c2" /><Relationship Type="http://schemas.openxmlformats.org/officeDocument/2006/relationships/chart" Target="/word/charts/chart1.xml" Id="R1a3ceb0de65842be" /><Relationship Type="http://schemas.openxmlformats.org/officeDocument/2006/relationships/chart" Target="/word/charts/chart2.xml" Id="R43b28975d4c34394" /><Relationship Type="http://schemas.openxmlformats.org/officeDocument/2006/relationships/chart" Target="/word/charts/chart3.xml" Id="R0af30dfb82f54098" /><Relationship Type="http://schemas.openxmlformats.org/officeDocument/2006/relationships/chart" Target="/word/charts/chart4.xml" Id="R79cdd7aed2f34cc1" /><Relationship Type="http://schemas.openxmlformats.org/officeDocument/2006/relationships/chart" Target="/word/charts/chart5.xml" Id="R1576e732056b4775" /><Relationship Type="http://schemas.openxmlformats.org/officeDocument/2006/relationships/chart" Target="/word/charts/chart6.xml" Id="Rbb558a013caa4a2f" /><Relationship Type="http://schemas.openxmlformats.org/officeDocument/2006/relationships/chart" Target="/word/charts/chart7.xml" Id="R4e19e0c3c31a406a" /><Relationship Type="http://schemas.openxmlformats.org/officeDocument/2006/relationships/chart" Target="/word/charts/chart8.xml" Id="R387d7e5539e8429f" /><Relationship Type="http://schemas.openxmlformats.org/officeDocument/2006/relationships/chart" Target="/word/charts/chart9.xml" Id="R5a51f04d328d4597" /><Relationship Type="http://schemas.openxmlformats.org/officeDocument/2006/relationships/chart" Target="/word/charts/chart10.xml" Id="Rb6af5461d7d845ad" /><Relationship Type="http://schemas.openxmlformats.org/officeDocument/2006/relationships/chart" Target="/word/charts/chart11.xml" Id="Re1ddfad317e74e94" /><Relationship Type="http://schemas.microsoft.com/office/2014/relationships/chartEx" Target="/word/extendedCharts/chart.xml" Id="R350416843ad14580" /><Relationship Type="http://schemas.microsoft.com/office/2014/relationships/chartEx" Target="/word/extendedCharts/chart2.xml" Id="Rabf523e864ba4f0a" /><Relationship Type="http://schemas.openxmlformats.org/officeDocument/2006/relationships/chart" Target="/word/charts/chart12.xml" Id="R32de81ca8b524fd8" /></Relationships>
</file>

<file path=word/charts/chart1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Quarterly Revenue by Region</a:t>
            </a:r>
          </a:p>
        </c:rich>
      </c:tx>
      <c:overlay val="0"/>
    </c:title>
    <c:plotArea>
      <c:layout/>
      <c:barChart>
        <c:barDir val="col"/>
        <c:grouping val="clustered"/>
        <c:varyColors val="0"/>
        <c:ser>
          <c:idx val="0"/>
          <c:order val="0"/>
          <c:tx>
            <c:v>East</c:v>
          </c:tx>
          <c:spPr>
            <a:solidFill xmlns:a="http://schemas.openxmlformats.org/drawingml/2006/main">
              <a:srgbClr val="4472C4"/>
            </a:solidFill>
          </c:spPr>
          <c:cat>
            <c:strLit>
              <c:ptCount val="4"/>
              <c:pt idx="0">
                <c:v>Q1</c:v>
              </c:pt>
              <c:pt idx="1">
                <c:v>Q2</c:v>
              </c:pt>
              <c:pt idx="2">
                <c:v>Q3</c:v>
              </c:pt>
              <c:pt idx="3">
                <c:v>Q4</c:v>
              </c:pt>
            </c:strLit>
          </c:cat>
          <c:val>
            <c:numLit>
              <c:formatCode>General</c:formatCode>
              <c:ptCount val="4"/>
              <c:pt idx="0">
                <c:v>120</c:v>
              </c:pt>
              <c:pt idx="1">
                <c:v>135</c:v>
              </c:pt>
              <c:pt idx="2">
                <c:v>148</c:v>
              </c:pt>
              <c:pt idx="3">
                <c:v>162</c:v>
              </c:pt>
            </c:numLit>
          </c:val>
        </c:ser>
        <c:ser>
          <c:idx val="1"/>
          <c:order val="1"/>
          <c:tx>
            <c:v>West</c:v>
          </c:tx>
          <c:spPr>
            <a:solidFill xmlns:a="http://schemas.openxmlformats.org/drawingml/2006/main">
              <a:srgbClr val="ED7D31"/>
            </a:solidFill>
          </c:spPr>
          <c:cat>
            <c:strLit>
              <c:ptCount val="4"/>
              <c:pt idx="0">
                <c:v>Q1</c:v>
              </c:pt>
              <c:pt idx="1">
                <c:v>Q2</c:v>
              </c:pt>
              <c:pt idx="2">
                <c:v>Q3</c:v>
              </c:pt>
              <c:pt idx="3">
                <c:v>Q4</c:v>
              </c:pt>
            </c:strLit>
          </c:cat>
          <c:val>
            <c:numLit>
              <c:formatCode>General</c:formatCode>
              <c:ptCount val="4"/>
              <c:pt idx="0">
                <c:v>110</c:v>
              </c:pt>
              <c:pt idx="1">
                <c:v>118</c:v>
              </c:pt>
              <c:pt idx="2">
                <c:v>130</c:v>
              </c:pt>
              <c:pt idx="3">
                <c:v>145</c:v>
              </c:pt>
            </c:numLit>
          </c:val>
        </c:ser>
        <c:ser>
          <c:idx val="2"/>
          <c:order val="2"/>
          <c:tx>
            <c:v>South</c:v>
          </c:tx>
          <c:spPr>
            <a:solidFill xmlns:a="http://schemas.openxmlformats.org/drawingml/2006/main">
              <a:srgbClr val="70AD47"/>
            </a:solidFill>
          </c:spPr>
          <c:cat>
            <c:strLit>
              <c:ptCount val="4"/>
              <c:pt idx="0">
                <c:v>Q1</c:v>
              </c:pt>
              <c:pt idx="1">
                <c:v>Q2</c:v>
              </c:pt>
              <c:pt idx="2">
                <c:v>Q3</c:v>
              </c:pt>
              <c:pt idx="3">
                <c:v>Q4</c:v>
              </c:pt>
            </c:strLit>
          </c:cat>
          <c:val>
            <c:numLit>
              <c:formatCode>General</c:formatCode>
              <c:ptCount val="4"/>
              <c:pt idx="0">
                <c:v>95</c:v>
              </c:pt>
              <c:pt idx="1">
                <c:v>108</c:v>
              </c:pt>
              <c:pt idx="2">
                <c:v>115</c:v>
              </c:pt>
              <c:pt idx="3">
                <c:v>128</c:v>
              </c:pt>
            </c:numLit>
          </c:val>
        </c:ser>
        <c:gapWidth val="150"/>
        <c:axId val="1"/>
        <c:axId val="2"/>
      </c:barChart>
      <c:catAx>
        <c:axId val="1"/>
        <c:scaling>
          <c:orientation val="minMax"/>
        </c:scaling>
        <c:delete val="0"/>
        <c:axPos val="b"/>
        <c:title>
          <c:tx>
            <c:rich>
              <a:bodyPr xmlns:a="http://schemas.openxmlformats.org/drawingml/2006/main"/>
              <a:lstStyle xmlns:a="http://schemas.openxmlformats.org/drawingml/2006/main"/>
              <a:p xmlns:a="http://schemas.openxmlformats.org/drawingml/2006/main">
                <a:pPr>
                  <a:defRPr sz="1400" b="1"/>
                </a:pPr>
                <a:r>
                  <a:rPr lang="en-US" sz="1400" b="1"/>
                  <a:t>Quarter</a:t>
                </a:r>
              </a:p>
            </c:rich>
          </c:tx>
          <c:overlay val="0"/>
        </c:title>
        <c:majorTickMark val="out"/>
        <c:minorTickMark val="none"/>
        <c:tickLblPos val="nextTo"/>
        <c:crossAx val="2"/>
        <c:crosses val="autoZero"/>
        <c:auto val="1"/>
        <c:lblAlgn val="ctr"/>
        <c:lblOffset val="100"/>
      </c:catAx>
      <c:valAx>
        <c:axId val="2"/>
        <c:scaling>
          <c:orientation val="minMax"/>
          <c:max val="200"/>
          <c:min val="0"/>
        </c:scaling>
        <c:delete val="0"/>
        <c:axPos val="l"/>
        <c:majorGridlines>
          <c:spPr>
            <a:ln xmlns:a="http://schemas.openxmlformats.org/drawingml/2006/main" w="6350">
              <a:solidFill>
                <a:srgbClr val="D9D9D9"/>
              </a:solidFill>
              <a:prstDash val="sysDot"/>
            </a:ln>
          </c:spPr>
        </c:majorGridlines>
        <c:title>
          <c:tx>
            <c:rich>
              <a:bodyPr xmlns:a="http://schemas.openxmlformats.org/drawingml/2006/main"/>
              <a:lstStyle xmlns:a="http://schemas.openxmlformats.org/drawingml/2006/main"/>
              <a:p xmlns:a="http://schemas.openxmlformats.org/drawingml/2006/main">
                <a:pPr>
                  <a:defRPr sz="1400" b="1"/>
                </a:pPr>
                <a:r>
                  <a:rPr lang="en-US" sz="1400" b="1"/>
                  <a:t>Revenue (K)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1"/>
        <c:crosses val="autoZero"/>
        <c:crossBetween val="between"/>
      </c:valAx>
    </c:plotArea>
    <c:legend>
      <c:legendPos val="b"/>
      <c:overlay val="0"/>
    </c:legend>
    <c:plotVisOnly val="1"/>
    <c:dispBlanksAs val="gap"/>
  </c:chart>
</c:chartSpace>
</file>

<file path=word/charts/chart10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Revenue vs Growth Rate</a:t>
            </a:r>
          </a:p>
        </c:rich>
      </c:tx>
      <c:overlay val="0"/>
    </c:title>
    <c:plotArea>
      <c:layout/>
      <c:barChart>
        <c:barDir val="col"/>
        <c:grouping val="clustered"/>
        <c:varyColors val="0"/>
        <c:ser>
          <c:idx val="0"/>
          <c:order val="0"/>
          <c:tx>
            <c:v>Revenue</c:v>
          </c:tx>
          <c:spPr>
            <a:solidFill xmlns:a="http://schemas.openxmlformats.org/drawingml/2006/main">
              <a:srgbClr val="2E75B6"/>
            </a:solidFill>
          </c:spPr>
          <c:cat>
            <c:strLit>
              <c:ptCount val="5"/>
              <c:pt idx="0">
                <c:v>2021</c:v>
              </c:pt>
              <c:pt idx="1">
                <c:v>2022</c:v>
              </c:pt>
              <c:pt idx="2">
                <c:v>2023</c:v>
              </c:pt>
              <c:pt idx="3">
                <c:v>2024</c:v>
              </c:pt>
              <c:pt idx="4">
                <c:v>2025</c:v>
              </c:pt>
            </c:strLit>
          </c:cat>
          <c:val>
            <c:numLit>
              <c:formatCode>General</c:formatCode>
              <c:ptCount val="5"/>
              <c:pt idx="0">
                <c:v>120</c:v>
              </c:pt>
              <c:pt idx="1">
                <c:v>180</c:v>
              </c:pt>
              <c:pt idx="2">
                <c:v>250</c:v>
              </c:pt>
              <c:pt idx="3">
                <c:v>310</c:v>
              </c:pt>
              <c:pt idx="4">
                <c:v>380</c:v>
              </c:pt>
            </c:numLit>
          </c:val>
        </c:ser>
        <c:axId val="1"/>
        <c:axId val="2"/>
      </c:barChart>
      <c:lineChart>
        <c:grouping val="standard"/>
        <c:varyColors val="0"/>
        <c:ser>
          <c:idx val="1"/>
          <c:order val="1"/>
          <c:tx>
            <c:v>Growth %</c:v>
          </c:tx>
          <c:spPr>
            <a:ln xmlns:a="http://schemas.openxmlformats.org/drawingml/2006/main" w="25400">
              <a:solidFill>
                <a:srgbClr val="C00000"/>
              </a:solidFill>
            </a:ln>
          </c:spPr>
          <c:cat>
            <c:strLit>
              <c:ptCount val="5"/>
              <c:pt idx="0">
                <c:v>2021</c:v>
              </c:pt>
              <c:pt idx="1">
                <c:v>2022</c:v>
              </c:pt>
              <c:pt idx="2">
                <c:v>2023</c:v>
              </c:pt>
              <c:pt idx="3">
                <c:v>2024</c:v>
              </c:pt>
              <c:pt idx="4">
                <c:v>2025</c:v>
              </c:pt>
            </c:strLit>
          </c:cat>
          <c:val>
            <c:numLit>
              <c:formatCode>General</c:formatCode>
              <c:ptCount val="5"/>
              <c:pt idx="0">
                <c:v>50</c:v>
              </c:pt>
              <c:pt idx="1">
                <c:v>33</c:v>
              </c:pt>
              <c:pt idx="2">
                <c:v>39</c:v>
              </c:pt>
              <c:pt idx="3">
                <c:v>24</c:v>
              </c:pt>
              <c:pt idx="4">
                <c:v>23</c:v>
              </c:pt>
            </c:numLit>
          </c:val>
        </c:ser>
        <c:axId val="3"/>
        <c:axId val="4"/>
      </c:lineChart>
      <c:catAx>
        <c:axId val="1"/>
        <c:scaling>
          <c:orientation val="minMax"/>
        </c:scaling>
        <c:delete val="0"/>
        <c:axPos val="b"/>
        <c:majorTickMark val="out"/>
        <c:minorTickMark val="none"/>
        <c:tickLblPos val="nextTo"/>
        <c:crossAx val="2"/>
        <c:crosses val="autoZero"/>
        <c:auto val="1"/>
        <c:lblAlgn val="ctr"/>
        <c:lblOffset val="100"/>
      </c:catAx>
      <c:valAx>
        <c:axId val="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majorTickMark val="none"/>
        <c:minorTickMark val="none"/>
        <c:tickLblPos val="none"/>
        <c:crossAx val="4"/>
        <c:crosses val="autoZero"/>
      </c:catAx>
      <c:valAx>
        <c:axId val="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3"/>
        <c:crosses val="max"/>
        <c:crossBetween val="between"/>
      </c:valAx>
    </c:plotArea>
    <c:legend>
      <c:legendPos val="b"/>
      <c:overlay val="0"/>
    </c:legend>
    <c:plotVisOnly val="1"/>
    <c:dispBlanksAs val="gap"/>
  </c:chart>
</c:chartSpace>
</file>

<file path=word/charts/chart11.xml><?xml version="1.0" encoding="utf-8"?>
<c:chartSpace xmlns:c="http://schemas.openxmlformats.org/drawingml/2006/chart">
  <c:roundedCorners val="1"/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500" b="1"/>
            </a:pPr>
            <a:r>
              <a:rPr lang="en-US" sz="1500" b="1">
                <a:solidFill>
                  <a:srgbClr val="1F4E79"/>
                </a:solidFill>
                <a:latin typeface="Georgia"/>
                <a:ea typeface="Georgia"/>
              </a:rPr>
              <a:t>Revenue (in Thousands)</a:t>
            </a:r>
          </a:p>
        </c:rich>
      </c:tx>
      <c:overlay val="0"/>
    </c:title>
    <c:plotArea>
      <c:layout/>
      <c:barChart>
        <c:barDir val="col"/>
        <c:grouping val="clustered"/>
        <c:varyColors val="0"/>
        <c:ser>
          <c:idx val="0"/>
          <c:order val="0"/>
          <c:tx>
            <c:v>Revenue</c:v>
          </c:tx>
          <c:spPr>
            <a:solidFill xmlns:a="http://schemas.openxmlformats.org/drawingml/2006/main">
              <a:srgbClr val="1F4E79"/>
            </a:solidFill>
          </c:spPr>
          <c:cat>
            <c:strLit>
              <c:ptCount val="5"/>
              <c:pt idx="0">
                <c:v>2021</c:v>
              </c:pt>
              <c:pt idx="1">
                <c:v>2022</c:v>
              </c:pt>
              <c:pt idx="2">
                <c:v>2023</c:v>
              </c:pt>
              <c:pt idx="3">
                <c:v>2024</c:v>
              </c:pt>
              <c:pt idx="4">
                <c:v>2025</c:v>
              </c:pt>
            </c:strLit>
          </c:cat>
          <c:val>
            <c:numLit>
              <c:formatCode>General</c:formatCode>
              <c:ptCount val="5"/>
              <c:pt idx="0">
                <c:v>12000</c:v>
              </c:pt>
              <c:pt idx="1">
                <c:v>18500</c:v>
              </c:pt>
              <c:pt idx="2">
                <c:v>22000</c:v>
              </c:pt>
              <c:pt idx="3">
                <c:v>31000</c:v>
              </c:pt>
              <c:pt idx="4">
                <c:v>45000</c:v>
              </c:pt>
            </c:numLit>
          </c:val>
        </c:ser>
        <c:gapWidth val="150"/>
        <c:axId val="1"/>
        <c:axId val="2"/>
      </c:barChart>
      <c:catAx>
        <c:axId val="1"/>
        <c:scaling>
          <c:orientation val="minMax"/>
        </c:scaling>
        <c:delete val="0"/>
        <c:axPos val="b"/>
        <c:majorTickMark val="out"/>
        <c:minorTickMark val="none"/>
        <c:tickLblPos val="nextTo"/>
        <c:crossAx val="2"/>
        <c:crosses val="autoZero"/>
        <c:auto val="1"/>
        <c:lblAlgn val="ctr"/>
        <c:lblOffset val="100"/>
      </c:catAx>
      <c:valAx>
        <c:axId val="2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1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</c:chart>
  <c:spPr>
    <a:solidFill xmlns:a="http://schemas.openxmlformats.org/drawingml/2006/main">
      <a:srgbClr val="F8F8F8"/>
    </a:solidFill>
  </c:spPr>
</c:chartSpace>
</file>

<file path=word/charts/chart12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Cash Flow</a:t>
            </a:r>
          </a:p>
        </c:rich>
      </c:tx>
      <c:overlay val="0"/>
    </c:title>
    <c:plotArea>
      <c:layout/>
      <c:barChart>
        <c:barDir val="col"/>
        <c:grouping val="stacked"/>
        <c:varyColors val="0"/>
        <c:ser>
          <c:idx val="0"/>
          <c:order val="0"/>
          <c:tx>
            <c:v>Base</c:v>
          </c:tx>
          <c:spPr>
            <a:noFill xmlns:a="http://schemas.openxmlformats.org/drawingml/2006/main"/>
            <a:ln xmlns:a="http://schemas.openxmlformats.org/drawingml/2006/main">
              <a:noFill/>
            </a:ln>
          </c:spPr>
          <c:cat>
            <c:strLit>
              <c:ptCount val="5"/>
              <c:pt idx="0">
                <c:v>Start</c:v>
              </c:pt>
              <c:pt idx="1">
                <c:v>Q1</c:v>
              </c:pt>
              <c:pt idx="2">
                <c:v>Q2</c:v>
              </c:pt>
              <c:pt idx="3">
                <c:v>Q3</c:v>
              </c:pt>
              <c:pt idx="4">
                <c:v>End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70</c:v>
              </c:pt>
              <c:pt idx="2">
                <c:v>70</c:v>
              </c:pt>
              <c:pt idx="3">
                <c:v>100</c:v>
              </c:pt>
              <c:pt idx="4">
                <c:v>0</c:v>
              </c:pt>
            </c:numLit>
          </c:val>
        </c:ser>
        <c:ser>
          <c:idx val="1"/>
          <c:order val="1"/>
          <c:tx>
            <c:v>Increase</c:v>
          </c:tx>
          <c:spPr>
            <a:solidFill xmlns:a="http://schemas.openxmlformats.org/drawingml/2006/main">
              <a:srgbClr val="00AA00"/>
            </a:solidFill>
          </c:spPr>
          <c:dPt>
            <c:idx val="4"/>
            <c:spPr>
              <a:solidFill xmlns:a="http://schemas.openxmlformats.org/drawingml/2006/main">
                <a:srgbClr val="4472C4"/>
              </a:solidFill>
            </c:spPr>
          </c:dPt>
          <c:cat>
            <c:strLit>
              <c:ptCount val="5"/>
              <c:pt idx="0">
                <c:v>Start</c:v>
              </c:pt>
              <c:pt idx="1">
                <c:v>Q1</c:v>
              </c:pt>
              <c:pt idx="2">
                <c:v>Q2</c:v>
              </c:pt>
              <c:pt idx="3">
                <c:v>Q3</c:v>
              </c:pt>
              <c:pt idx="4">
                <c:v>End</c:v>
              </c:pt>
            </c:strLit>
          </c:cat>
          <c:val>
            <c:numLit>
              <c:formatCode>General</c:formatCode>
              <c:ptCount val="5"/>
              <c:pt idx="0">
                <c:v>100</c:v>
              </c:pt>
              <c:pt idx="1">
                <c:v>0</c:v>
              </c:pt>
              <c:pt idx="2">
                <c:v>50</c:v>
              </c:pt>
              <c:pt idx="3">
                <c:v>0</c:v>
              </c:pt>
              <c:pt idx="4">
                <c:v>100</c:v>
              </c:pt>
            </c:numLit>
          </c:val>
        </c:ser>
        <c:ser>
          <c:idx val="2"/>
          <c:order val="2"/>
          <c:tx>
            <c:v>Decrease</c:v>
          </c:tx>
          <c:spPr>
            <a:solidFill xmlns:a="http://schemas.openxmlformats.org/drawingml/2006/main">
              <a:srgbClr val="C00000"/>
            </a:solidFill>
          </c:spPr>
          <c:cat>
            <c:strLit>
              <c:ptCount val="5"/>
              <c:pt idx="0">
                <c:v>Start</c:v>
              </c:pt>
              <c:pt idx="1">
                <c:v>Q1</c:v>
              </c:pt>
              <c:pt idx="2">
                <c:v>Q2</c:v>
              </c:pt>
              <c:pt idx="3">
                <c:v>Q3</c:v>
              </c:pt>
              <c:pt idx="4">
                <c:v>End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30</c:v>
              </c:pt>
              <c:pt idx="2">
                <c:v>0</c:v>
              </c:pt>
              <c:pt idx="3">
                <c:v>20</c:v>
              </c:pt>
              <c:pt idx="4">
                <c:v>0</c:v>
              </c:pt>
            </c:numLit>
          </c:val>
        </c:ser>
        <c:gapWidth val="80"/>
        <c:overlap val="100"/>
        <c:axId val="1"/>
        <c:axId val="2"/>
      </c:barChart>
      <c:catAx>
        <c:axId val="1"/>
        <c:scaling>
          <c:orientation val="minMax"/>
        </c:scaling>
        <c:delete val="0"/>
        <c:axPos val="b"/>
        <c:majorTickMark val="out"/>
        <c:minorTickMark val="none"/>
        <c:tickLblPos val="nextTo"/>
        <c:crossAx val="2"/>
        <c:crosses val="autoZero"/>
        <c:auto val="1"/>
        <c:lblAlgn val="ctr"/>
        <c:lblOffset val="100"/>
      </c:catAx>
      <c:valAx>
        <c:axId val="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"/>
        <c:crosses val="autoZero"/>
        <c:crossBetween val="between"/>
      </c:valAx>
    </c:plotArea>
    <c:legend>
      <c:legendPos val="b"/>
      <c:legendEntry>
        <c:idx val="0"/>
        <c:delete val="1"/>
      </c:legendEntry>
      <c:overlay val="0"/>
    </c:legend>
    <c:plotVisOnly val="1"/>
    <c:dispBlanksAs val="gap"/>
  </c:chart>
</c:chartSpace>
</file>

<file path=word/charts/chart2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Product Units Sold</a:t>
            </a:r>
          </a:p>
        </c:rich>
      </c:tx>
      <c:overlay val="0"/>
    </c:title>
    <c:plotArea>
      <c:layout/>
      <c:barChart>
        <c:barDir val="bar"/>
        <c:grouping val="clustered"/>
        <c:varyColors val="0"/>
        <c:ser>
          <c:idx val="0"/>
          <c:order val="0"/>
          <c:tx>
            <c:v>Units</c:v>
          </c:tx>
          <c:spPr>
            <a:solidFill xmlns:a="http://schemas.openxmlformats.org/drawingml/2006/main">
              <a:srgbClr val="2E75B6"/>
            </a:solidFill>
          </c:spPr>
          <c:cat>
            <c:strLit>
              <c:ptCount val="5"/>
              <c:pt idx="0">
                <c:v>Laptop</c:v>
              </c:pt>
              <c:pt idx="1">
                <c:v>Phone</c:v>
              </c:pt>
              <c:pt idx="2">
                <c:v>Tablet</c:v>
              </c:pt>
              <c:pt idx="3">
                <c:v>Watch</c:v>
              </c:pt>
              <c:pt idx="4">
                <c:v>Buds</c:v>
              </c:pt>
            </c:strLit>
          </c:cat>
          <c:val>
            <c:numLit>
              <c:formatCode>General</c:formatCode>
              <c:ptCount val="5"/>
              <c:pt idx="0">
                <c:v>320</c:v>
              </c:pt>
              <c:pt idx="1">
                <c:v>280</c:v>
              </c:pt>
              <c:pt idx="2">
                <c:v>410</c:v>
              </c:pt>
              <c:pt idx="3">
                <c:v>190</c:v>
              </c:pt>
              <c:pt idx="4">
                <c:v>360</c:v>
              </c:pt>
            </c:numLit>
          </c:val>
        </c:ser>
        <c:dLbls>
          <c:txPr>
            <a:bodyPr xmlns:a="http://schemas.openxmlformats.org/drawingml/2006/main"/>
            <a:lstStyle xmlns:a="http://schemas.openxmlformats.org/drawingml/2006/main"/>
            <a:p xmlns:a="http://schemas.openxmlformats.org/drawingml/2006/main">
              <a:pPr>
                <a:defRPr sz="900">
                  <a:solidFill>
                    <a:srgbClr val="333333"/>
                  </a:solidFill>
                  <a:latin typeface="Calibri"/>
                  <a:ea typeface="Calibri"/>
                </a:defRPr>
              </a:pPr>
            </a:p>
          </c:txPr>
          <c:dLblPos val="outEnd"/>
          <c:showLegendKey val="0"/>
          <c:showVal val="1"/>
          <c:showCatName val="0"/>
          <c:showSerName val="0"/>
          <c:showPercent val="0"/>
        </c:dLbls>
        <c:gapWidth val="80"/>
        <c:axId val="1"/>
        <c:axId val="2"/>
      </c:barChart>
      <c:catAx>
        <c:axId val="1"/>
        <c:scaling>
          <c:orientation val="minMax"/>
        </c:scaling>
        <c:delete val="0"/>
        <c:axPos val="b"/>
        <c:majorTickMark val="out"/>
        <c:minorTickMark val="none"/>
        <c:tickLblPos val="nextTo"/>
        <c:crossAx val="2"/>
        <c:crosses val="autoZero"/>
        <c:auto val="1"/>
        <c:lblAlgn val="ctr"/>
        <c:lblOffset val="100"/>
      </c:catAx>
      <c:valAx>
        <c:axId val="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"/>
        <c:crosses val="autoZero"/>
        <c:crossBetween val="between"/>
      </c:valAx>
    </c:plotArea>
    <c:plotVisOnly val="1"/>
    <c:dispBlanksAs val="gap"/>
  </c:chart>
</c:chartSpace>
</file>

<file path=word/charts/chart3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Monthly Active Users</a:t>
            </a:r>
          </a:p>
        </c:rich>
      </c:tx>
      <c:overlay val="0"/>
    </c:title>
    <c:plotArea>
      <c:layout/>
      <c:lineChart>
        <c:grouping val="standard"/>
        <c:varyColors val="0"/>
        <c:ser>
          <c:idx val="0"/>
          <c:order val="0"/>
          <c:tx>
            <c:v>2023</c:v>
          </c:tx>
          <c:spPr>
            <a:ln xmlns:a="http://schemas.openxmlformats.org/drawingml/2006/main" w="25400">
              <a:solidFill>
                <a:srgbClr val="4472C4"/>
              </a:solidFill>
            </a:ln>
          </c:spPr>
          <c:marker>
            <c:symbol val="circle"/>
            <c:size val="6"/>
          </c:marker>
          <c:cat>
            <c:strLit>
              <c:ptCount val="6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</c:strLit>
          </c:cat>
          <c:val>
            <c:numLit>
              <c:formatCode>General</c:formatCode>
              <c:ptCount val="6"/>
              <c:pt idx="0">
                <c:v>120</c:v>
              </c:pt>
              <c:pt idx="1">
                <c:v>180</c:v>
              </c:pt>
              <c:pt idx="2">
                <c:v>210</c:v>
              </c:pt>
              <c:pt idx="3">
                <c:v>250</c:v>
              </c:pt>
              <c:pt idx="4">
                <c:v>280</c:v>
              </c:pt>
              <c:pt idx="5">
                <c:v>310</c:v>
              </c:pt>
            </c:numLit>
          </c:val>
          <c:smooth val="1"/>
        </c:ser>
        <c:ser>
          <c:idx val="1"/>
          <c:order val="1"/>
          <c:tx>
            <c:v>2024</c:v>
          </c:tx>
          <c:spPr>
            <a:ln xmlns:a="http://schemas.openxmlformats.org/drawingml/2006/main" w="25400">
              <a:solidFill>
                <a:srgbClr val="ED7D31"/>
              </a:solidFill>
            </a:ln>
          </c:spPr>
          <c:marker>
            <c:symbol val="circle"/>
            <c:size val="6"/>
          </c:marker>
          <c:cat>
            <c:strLit>
              <c:ptCount val="6"/>
              <c:pt idx="0">
                <c:v>Jan</c:v>
              </c:pt>
              <c:pt idx="1">
                <c:v>Feb</c:v>
              </c:pt>
              <c:pt idx="2">
                <c:v>Mar</c:v>
              </c:pt>
              <c:pt idx="3">
                <c:v>Apr</c:v>
              </c:pt>
              <c:pt idx="4">
                <c:v>May</c:v>
              </c:pt>
              <c:pt idx="5">
                <c:v>Jun</c:v>
              </c:pt>
            </c:strLit>
          </c:cat>
          <c:val>
            <c:numLit>
              <c:formatCode>General</c:formatCode>
              <c:ptCount val="6"/>
              <c:pt idx="0">
                <c:v>150</c:v>
              </c:pt>
              <c:pt idx="1">
                <c:v>220</c:v>
              </c:pt>
              <c:pt idx="2">
                <c:v>260</c:v>
              </c:pt>
              <c:pt idx="3">
                <c:v>300</c:v>
              </c:pt>
              <c:pt idx="4">
                <c:v>340</c:v>
              </c:pt>
              <c:pt idx="5">
                <c:v>380</c:v>
              </c:pt>
            </c:numLit>
          </c:val>
          <c:smooth val="1"/>
        </c:ser>
        <c:dropLines>
          <c:spPr>
            <a:ln xmlns:a="http://schemas.openxmlformats.org/drawingml/2006/main" w="6350">
              <a:solidFill>
                <a:srgbClr val="808080"/>
              </a:solidFill>
            </a:ln>
          </c:spPr>
        </c:dropLines>
        <c:smooth val="1"/>
        <c:axId val="1"/>
        <c:axId val="2"/>
      </c:lineChart>
      <c:catAx>
        <c:axId val="1"/>
        <c:scaling>
          <c:orientation val="minMax"/>
        </c:scaling>
        <c:delete val="0"/>
        <c:axPos val="b"/>
        <c:majorTickMark val="out"/>
        <c:minorTickMark val="none"/>
        <c:tickLblPos val="nextTo"/>
        <c:crossAx val="2"/>
        <c:crosses val="autoZero"/>
        <c:auto val="1"/>
        <c:lblAlgn val="ctr"/>
        <c:lblOffset val="100"/>
      </c:catAx>
      <c:valAx>
        <c:axId val="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"/>
        <c:crosses val="autoZero"/>
        <c:crossBetween val="between"/>
      </c:valAx>
    </c:plotArea>
    <c:legend>
      <c:legendPos val="b"/>
      <c:overlay val="0"/>
    </c:legend>
    <c:plotVisOnly val="1"/>
    <c:dispBlanksAs val="gap"/>
  </c:chart>
</c:chartSpace>
</file>

<file path=word/charts/chart4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Market Share</a:t>
            </a:r>
          </a:p>
        </c:rich>
      </c:tx>
      <c:overlay val="0"/>
    </c:title>
    <c:plotArea>
      <c:layout/>
      <c:pieChart>
        <c:varyColors val="1"/>
        <c:ser>
          <c:idx val="0"/>
          <c:order val="0"/>
          <c:tx>
            <c:v>Share</c:v>
          </c:tx>
          <c:explosion val="8"/>
          <c:dPt>
            <c:idx val="0"/>
            <c:spPr>
              <a:solidFill xmlns:a="http://schemas.openxmlformats.org/drawingml/2006/main">
                <a:srgbClr val="4472C4"/>
              </a:solidFill>
            </c:spPr>
          </c:dPt>
          <c:dPt>
            <c:idx val="1"/>
            <c:spPr>
              <a:solidFill xmlns:a="http://schemas.openxmlformats.org/drawingml/2006/main">
                <a:srgbClr val="ED7D31"/>
              </a:solidFill>
            </c:spPr>
          </c:dPt>
          <c:dPt>
            <c:idx val="2"/>
            <c:spPr>
              <a:solidFill xmlns:a="http://schemas.openxmlformats.org/drawingml/2006/main">
                <a:srgbClr val="70AD47"/>
              </a:solidFill>
            </c:spPr>
          </c:dPt>
          <c:dPt>
            <c:idx val="3"/>
            <c:spPr>
              <a:solidFill xmlns:a="http://schemas.openxmlformats.org/drawingml/2006/main">
                <a:srgbClr val="FFC000"/>
              </a:solidFill>
            </c:spPr>
          </c:dPt>
          <c:cat>
            <c:strLit>
              <c:ptCount val="4"/>
              <c:pt idx="0">
                <c:v>Alpha</c:v>
              </c:pt>
              <c:pt idx="1">
                <c:v>Beta</c:v>
              </c:pt>
              <c:pt idx="2">
                <c:v>Gamma</c:v>
              </c:pt>
              <c:pt idx="3">
                <c:v>Other</c:v>
              </c:pt>
            </c:strLit>
          </c:cat>
          <c:val>
            <c:numLit>
              <c:formatCode>General</c:formatCode>
              <c:ptCount val="4"/>
              <c:pt idx="0">
                <c:v>42</c:v>
              </c:pt>
              <c:pt idx="1">
                <c:v>28</c:v>
              </c:pt>
              <c:pt idx="2">
                <c:v>18</c:v>
              </c:pt>
              <c:pt idx="3">
                <c:v>12</c:v>
              </c:pt>
            </c:numLit>
          </c:val>
        </c:ser>
        <c:dLbls>
          <c:showLegendKey val="0"/>
          <c:showVal val="0"/>
          <c:showCatName val="0"/>
          <c:showSerName val="0"/>
          <c:showPercent val="1"/>
        </c:dLbls>
        <c:firstSliceAng val="90"/>
      </c:pieChart>
    </c:plotArea>
    <c:legend>
      <c:legendPos val="r"/>
      <c:overlay val="0"/>
    </c:legend>
    <c:plotVisOnly val="1"/>
    <c:dispBlanksAs val="gap"/>
  </c:chart>
</c:chartSpace>
</file>

<file path=word/charts/chart5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Cumulative Traffic</a:t>
            </a:r>
          </a:p>
        </c:rich>
      </c:tx>
      <c:overlay val="0"/>
    </c:title>
    <c:plotArea>
      <c:layout/>
      <c:areaChart>
        <c:grouping val="standard"/>
        <c:varyColors val="0"/>
        <c:ser>
          <c:idx val="0"/>
          <c:order val="0"/>
          <c:tx>
            <c:v>Visits</c:v>
          </c:tx>
          <c:spPr>
            <a:gradFill xmlns:a="http://schemas.openxmlformats.org/drawingml/2006/main">
              <a:gsLst>
                <a:gs pos="0">
                  <a:srgbClr val="4472C4"/>
                </a:gs>
                <a:gs pos="100000">
                  <a:srgbClr val="A5C8FF"/>
                </a:gs>
              </a:gsLst>
              <a:lin ang="5400000" scaled="1"/>
            </a:gradFill>
          </c:spPr>
          <c:cat>
            <c:strLit>
              <c:ptCount val="7"/>
              <c:pt idx="0">
                <c:v>Mon</c:v>
              </c:pt>
              <c:pt idx="1">
                <c:v>Tue</c:v>
              </c:pt>
              <c:pt idx="2">
                <c:v>Wed</c:v>
              </c:pt>
              <c:pt idx="3">
                <c:v>Thu</c:v>
              </c:pt>
              <c:pt idx="4">
                <c:v>Fri</c:v>
              </c:pt>
              <c:pt idx="5">
                <c:v>Sat</c:v>
              </c:pt>
              <c:pt idx="6">
                <c:v>Sun</c:v>
              </c:pt>
            </c:strLit>
          </c:cat>
          <c:val>
            <c:numLit>
              <c:formatCode>General</c:formatCode>
              <c:ptCount val="7"/>
              <c:pt idx="0">
                <c:v>20</c:v>
              </c:pt>
              <c:pt idx="1">
                <c:v>35</c:v>
              </c:pt>
              <c:pt idx="2">
                <c:v>30</c:v>
              </c:pt>
              <c:pt idx="3">
                <c:v>55</c:v>
              </c:pt>
              <c:pt idx="4">
                <c:v>48</c:v>
              </c:pt>
              <c:pt idx="5">
                <c:v>70</c:v>
              </c:pt>
              <c:pt idx="6">
                <c:v>65</c:v>
              </c:pt>
            </c:numLit>
          </c:val>
        </c:ser>
        <c:axId val="1"/>
        <c:axId val="2"/>
      </c:areaChart>
      <c:catAx>
        <c:axId val="1"/>
        <c:scaling>
          <c:orientation val="minMax"/>
        </c:scaling>
        <c:delete val="0"/>
        <c:axPos val="b"/>
        <c:majorTickMark val="out"/>
        <c:minorTickMark val="none"/>
        <c:tickLblPos val="nextTo"/>
        <c:crossAx val="2"/>
        <c:crosses val="autoZero"/>
        <c:auto val="1"/>
        <c:lblAlgn val="ctr"/>
        <c:lblOffset val="100"/>
      </c:catAx>
      <c:valAx>
        <c:axId val="2"/>
        <c:scaling>
          <c:orientation val="minMax"/>
        </c:scaling>
        <c:delete val="0"/>
        <c:axPos val="l"/>
        <c:majorGridlines>
          <c:spPr>
            <a:ln xmlns:a="http://schemas.openxmlformats.org/drawingml/2006/main" w="6350">
              <a:solidFill>
                <a:srgbClr val="E0E0E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crossAx val="1"/>
        <c:crosses val="autoZero"/>
        <c:crossBetween val="between"/>
      </c:valAx>
    </c:plotArea>
    <c:plotVisOnly val="1"/>
    <c:dispBlanksAs val="gap"/>
  </c:chart>
</c:chartSpace>
</file>

<file path=word/charts/chart6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Load vs Response Time</a:t>
            </a:r>
          </a:p>
        </c:rich>
      </c:tx>
      <c:overlay val="0"/>
    </c:title>
    <c:plotArea>
      <c:layout/>
      <c:scatterChart>
        <c:scatterStyle val="smoothMarker"/>
        <c:varyColors val="0"/>
        <c:ser>
          <c:idx val="0"/>
          <c:order val="0"/>
          <c:tx>
            <c:v>Latency</c:v>
          </c:tx>
          <c:marker>
            <c:symbol val="diamond"/>
            <c:size val="7"/>
            <c:spPr>
              <a:solidFill xmlns:a="http://schemas.openxmlformats.org/drawingml/2006/main">
                <a:srgbClr val="C00000"/>
              </a:solidFill>
            </c:spPr>
          </c:marker>
          <c:xVal>
            <c:numLit>
              <c:ptCount val="6"/>
              <c:pt idx="0">
                <c:v>10</c:v>
              </c:pt>
              <c:pt idx="1">
                <c:v>20</c:v>
              </c:pt>
              <c:pt idx="2">
                <c:v>40</c:v>
              </c:pt>
              <c:pt idx="3">
                <c:v>80</c:v>
              </c:pt>
              <c:pt idx="4">
                <c:v>160</c:v>
              </c:pt>
              <c:pt idx="5">
                <c:v>320</c:v>
              </c:pt>
            </c:numLit>
          </c:xVal>
          <c:yVal>
            <c:numLit>
              <c:ptCount val="6"/>
              <c:pt idx="0">
                <c:v>12</c:v>
              </c:pt>
              <c:pt idx="1">
                <c:v>18</c:v>
              </c:pt>
              <c:pt idx="2">
                <c:v>27</c:v>
              </c:pt>
              <c:pt idx="3">
                <c:v>41</c:v>
              </c:pt>
              <c:pt idx="4">
                <c:v>60</c:v>
              </c:pt>
              <c:pt idx="5">
                <c:v>88</c:v>
              </c:pt>
            </c:numLit>
          </c:yVal>
        </c:ser>
        <c:axId val="1"/>
        <c:axId val="2"/>
      </c:scatterChart>
      <c:valAx>
        <c:axId val="1"/>
        <c:scaling>
          <c:orientation val="minMax"/>
        </c:scaling>
        <c:delete val="0"/>
        <c:axPos val="b"/>
        <c:majorGridlines/>
        <c:title>
          <c:tx>
            <c:rich>
              <a:bodyPr xmlns:a="http://schemas.openxmlformats.org/drawingml/2006/main"/>
              <a:lstStyle xmlns:a="http://schemas.openxmlformats.org/drawingml/2006/main"/>
              <a:p xmlns:a="http://schemas.openxmlformats.org/drawingml/2006/main">
                <a:pPr>
                  <a:defRPr sz="1400" b="1"/>
                </a:pPr>
                <a:r>
                  <a:rPr lang="en-US" sz="1400" b="1"/>
                  <a:t>ms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"/>
        <c:crosses val="autoZero"/>
        <c:crossBetween val="between"/>
      </c:valAx>
      <c:valAx>
        <c:axId val="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"/>
        <c:crosses val="autoZero"/>
        <c:crossBetween val="between"/>
      </c:valAx>
    </c:plotArea>
    <c:plotVisOnly val="1"/>
    <c:dispBlanksAs val="gap"/>
  </c:chart>
</c:chartSpace>
</file>

<file path=word/charts/chart7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Product Comparison</a:t>
            </a:r>
          </a:p>
        </c:rich>
      </c:tx>
      <c:overlay val="0"/>
    </c:title>
    <c:plotArea>
      <c:layout/>
      <c:radarChart>
        <c:radarStyle val="filled"/>
        <c:varyColors val="0"/>
        <c:ser>
          <c:idx val="0"/>
          <c:order val="0"/>
          <c:tx>
            <c:v>Model A</c:v>
          </c:tx>
          <c:spPr>
            <a:ln xmlns:a="http://schemas.openxmlformats.org/drawingml/2006/main" w="25400">
              <a:solidFill>
                <a:srgbClr val="4472C4"/>
              </a:solidFill>
            </a:ln>
          </c:spPr>
          <c:cat>
            <c:strLit>
              <c:ptCount val="5"/>
              <c:pt idx="0">
                <c:v>Speed</c:v>
              </c:pt>
              <c:pt idx="1">
                <c:v>Battery</c:v>
              </c:pt>
              <c:pt idx="2">
                <c:v>Camera</c:v>
              </c:pt>
              <c:pt idx="3">
                <c:v>Price</c:v>
              </c:pt>
              <c:pt idx="4">
                <c:v>Display</c:v>
              </c:pt>
            </c:strLit>
          </c:cat>
          <c:val>
            <c:numLit>
              <c:formatCode>General</c:formatCode>
              <c:ptCount val="5"/>
              <c:pt idx="0">
                <c:v>4</c:v>
              </c:pt>
              <c:pt idx="1">
                <c:v>5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</c:numLit>
          </c:val>
        </c:ser>
        <c:ser>
          <c:idx val="1"/>
          <c:order val="1"/>
          <c:tx>
            <c:v>Model B</c:v>
          </c:tx>
          <c:spPr>
            <a:ln xmlns:a="http://schemas.openxmlformats.org/drawingml/2006/main" w="25400">
              <a:solidFill>
                <a:srgbClr val="ED7D31"/>
              </a:solidFill>
            </a:ln>
          </c:spPr>
          <c:cat>
            <c:strLit>
              <c:ptCount val="5"/>
              <c:pt idx="0">
                <c:v>Speed</c:v>
              </c:pt>
              <c:pt idx="1">
                <c:v>Battery</c:v>
              </c:pt>
              <c:pt idx="2">
                <c:v>Camera</c:v>
              </c:pt>
              <c:pt idx="3">
                <c:v>Price</c:v>
              </c:pt>
              <c:pt idx="4">
                <c:v>Display</c:v>
              </c:pt>
            </c:strLit>
          </c:cat>
          <c:val>
            <c:numLit>
              <c:formatCode>General</c:formatCode>
              <c:ptCount val="5"/>
              <c:pt idx="0">
                <c:v>5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  <c:pt idx="4">
                <c:v>3</c:v>
              </c:pt>
            </c:numLit>
          </c:val>
        </c:ser>
        <c:axId val="1"/>
        <c:axId val="2"/>
      </c:radarChart>
      <c:catAx>
        <c:axId val="1"/>
        <c:scaling>
          <c:orientation val="minMax"/>
        </c:scaling>
        <c:delete val="0"/>
        <c:axPos val="b"/>
        <c:majorTickMark val="out"/>
        <c:minorTickMark val="none"/>
        <c:tickLblPos val="nextTo"/>
        <c:crossAx val="2"/>
        <c:crosses val="autoZero"/>
        <c:auto val="1"/>
        <c:lblAlgn val="ctr"/>
        <c:lblOffset val="100"/>
      </c:catAx>
      <c:valAx>
        <c:axId val="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"/>
        <c:crosses val="autoZero"/>
        <c:crossBetween val="between"/>
      </c:valAx>
    </c:plotArea>
    <c:legend>
      <c:legendPos val="b"/>
      <c:overlay val="0"/>
    </c:legend>
    <c:plotVisOnly val="1"/>
    <c:dispBlanksAs val="gap"/>
  </c:chart>
</c:chartSpace>
</file>

<file path=word/charts/chart8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Budget Allocation</a:t>
            </a:r>
          </a:p>
        </c:rich>
      </c:tx>
      <c:overlay val="0"/>
    </c:title>
    <c:plotArea>
      <c:layout/>
      <c:doughnutChart>
        <c:varyColors val="1"/>
        <c:ser>
          <c:idx val="0"/>
          <c:order val="0"/>
          <c:tx>
            <c:v>Budget</c:v>
          </c:tx>
          <c:dPt>
            <c:idx val="0"/>
            <c:spPr>
              <a:solidFill xmlns:a="http://schemas.openxmlformats.org/drawingml/2006/main">
                <a:srgbClr val="4472C4"/>
              </a:solidFill>
            </c:spPr>
          </c:dPt>
          <c:dPt>
            <c:idx val="1"/>
            <c:spPr>
              <a:solidFill xmlns:a="http://schemas.openxmlformats.org/drawingml/2006/main">
                <a:srgbClr val="ED7D31"/>
              </a:solidFill>
            </c:spPr>
          </c:dPt>
          <c:dPt>
            <c:idx val="2"/>
            <c:spPr>
              <a:solidFill xmlns:a="http://schemas.openxmlformats.org/drawingml/2006/main">
                <a:srgbClr val="70AD47"/>
              </a:solidFill>
            </c:spPr>
          </c:dPt>
          <c:dPt>
            <c:idx val="3"/>
            <c:spPr>
              <a:solidFill xmlns:a="http://schemas.openxmlformats.org/drawingml/2006/main">
                <a:srgbClr val="FFC000"/>
              </a:solidFill>
            </c:spPr>
          </c:dPt>
          <c:cat>
            <c:strLit>
              <c:ptCount val="4"/>
              <c:pt idx="0">
                <c:v>R&amp;D</c:v>
              </c:pt>
              <c:pt idx="1">
                <c:v>Sales</c:v>
              </c:pt>
              <c:pt idx="2">
                <c:v>Ops</c:v>
              </c:pt>
              <c:pt idx="3">
                <c:v>Admin</c:v>
              </c:pt>
            </c:strLit>
          </c:cat>
          <c:val>
            <c:numLit>
              <c:formatCode>General</c:formatCode>
              <c:ptCount val="4"/>
              <c:pt idx="0">
                <c:v>35</c:v>
              </c:pt>
              <c:pt idx="1">
                <c:v>25</c:v>
              </c:pt>
              <c:pt idx="2">
                <c:v>20</c:v>
              </c:pt>
              <c:pt idx="3">
                <c:v>20</c:v>
              </c:pt>
            </c:numLit>
          </c:val>
        </c:ser>
        <c:dLbls>
          <c:showLegendKey val="0"/>
          <c:showVal val="0"/>
          <c:showCatName val="0"/>
          <c:showSerName val="0"/>
          <c:showPercent val="1"/>
        </c:dLbls>
        <c:holeSize val="55"/>
      </c:doughnutChart>
    </c:plotArea>
    <c:legend>
      <c:legendPos val="r"/>
      <c:overlay val="0"/>
    </c:legend>
    <c:plotVisOnly val="1"/>
    <c:dispBlanksAs val="gap"/>
  </c:chart>
</c:chartSpace>
</file>

<file path=word/charts/chart9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Share Price (5 Days)</a:t>
            </a:r>
          </a:p>
        </c:rich>
      </c:tx>
      <c:overlay val="0"/>
    </c:title>
    <c:plotArea>
      <c:layout/>
      <c:stockChart>
        <c:ser>
          <c:idx val="0"/>
          <c:order val="0"/>
          <c:tx>
            <c:v>High</c:v>
          </c:tx>
          <c:spPr>
            <a:ln xmlns:a="http://schemas.openxmlformats.org/drawingml/2006/main">
              <a:noFill/>
            </a:ln>
          </c:spPr>
          <c:marker>
            <c:symbol val="none"/>
          </c:marker>
          <c:cat>
            <c:strLit>
              <c:ptCount val="5"/>
              <c:pt idx="0">
                <c:v>Mon</c:v>
              </c:pt>
              <c:pt idx="1">
                <c:v>Tue</c:v>
              </c:pt>
              <c:pt idx="2">
                <c:v>Wed</c:v>
              </c:pt>
              <c:pt idx="3">
                <c:v>Thu</c:v>
              </c:pt>
              <c:pt idx="4">
                <c:v>Fri</c:v>
              </c:pt>
            </c:strLit>
          </c:cat>
          <c:val>
            <c:numLit>
              <c:formatCode>General</c:formatCode>
              <c:ptCount val="5"/>
              <c:pt idx="0">
                <c:v>32</c:v>
              </c:pt>
              <c:pt idx="1">
                <c:v>35</c:v>
              </c:pt>
              <c:pt idx="2">
                <c:v>34</c:v>
              </c:pt>
              <c:pt idx="3">
                <c:v>38</c:v>
              </c:pt>
              <c:pt idx="4">
                <c:v>37</c:v>
              </c:pt>
            </c:numLit>
          </c:val>
        </c:ser>
        <c:ser>
          <c:idx val="1"/>
          <c:order val="1"/>
          <c:tx>
            <c:v>Low</c:v>
          </c:tx>
          <c:spPr>
            <a:ln xmlns:a="http://schemas.openxmlformats.org/drawingml/2006/main">
              <a:noFill/>
            </a:ln>
          </c:spPr>
          <c:marker>
            <c:symbol val="none"/>
          </c:marker>
          <c:cat>
            <c:strLit>
              <c:ptCount val="5"/>
              <c:pt idx="0">
                <c:v>Mon</c:v>
              </c:pt>
              <c:pt idx="1">
                <c:v>Tue</c:v>
              </c:pt>
              <c:pt idx="2">
                <c:v>Wed</c:v>
              </c:pt>
              <c:pt idx="3">
                <c:v>Thu</c:v>
              </c:pt>
              <c:pt idx="4">
                <c:v>Fri</c:v>
              </c:pt>
            </c:strLit>
          </c:cat>
          <c:val>
            <c:numLit>
              <c:formatCode>General</c:formatCode>
              <c:ptCount val="5"/>
              <c:pt idx="0">
                <c:v>28</c:v>
              </c:pt>
              <c:pt idx="1">
                <c:v>29</c:v>
              </c:pt>
              <c:pt idx="2">
                <c:v>30</c:v>
              </c:pt>
              <c:pt idx="3">
                <c:v>32</c:v>
              </c:pt>
              <c:pt idx="4">
                <c:v>33</c:v>
              </c:pt>
            </c:numLit>
          </c:val>
        </c:ser>
        <c:ser>
          <c:idx val="2"/>
          <c:order val="2"/>
          <c:tx>
            <c:v>Close</c:v>
          </c:tx>
          <c:spPr>
            <a:ln xmlns:a="http://schemas.openxmlformats.org/drawingml/2006/main">
              <a:noFill/>
            </a:ln>
          </c:spPr>
          <c:marker>
            <c:symbol val="none"/>
          </c:marker>
          <c:cat>
            <c:strLit>
              <c:ptCount val="5"/>
              <c:pt idx="0">
                <c:v>Mon</c:v>
              </c:pt>
              <c:pt idx="1">
                <c:v>Tue</c:v>
              </c:pt>
              <c:pt idx="2">
                <c:v>Wed</c:v>
              </c:pt>
              <c:pt idx="3">
                <c:v>Thu</c:v>
              </c:pt>
              <c:pt idx="4">
                <c:v>Fri</c:v>
              </c:pt>
            </c:strLit>
          </c:cat>
          <c:val>
            <c:numLit>
              <c:formatCode>General</c:formatCode>
              <c:ptCount val="5"/>
              <c:pt idx="0">
                <c:v>30</c:v>
              </c:pt>
              <c:pt idx="1">
                <c:v>34</c:v>
              </c:pt>
              <c:pt idx="2">
                <c:v>31</c:v>
              </c:pt>
              <c:pt idx="3">
                <c:v>37</c:v>
              </c:pt>
              <c:pt idx="4">
                <c:v>35</c:v>
              </c:pt>
            </c:numLit>
          </c:val>
        </c:ser>
        <c:hiLowLines/>
        <c:axId val="1"/>
        <c:axId val="2"/>
      </c:stockChart>
      <c:catAx>
        <c:axId val="1"/>
        <c:scaling>
          <c:orientation val="minMax"/>
        </c:scaling>
        <c:delete val="0"/>
        <c:axPos val="b"/>
        <c:majorTickMark val="out"/>
        <c:minorTickMark val="none"/>
        <c:tickLblPos val="nextTo"/>
        <c:crossAx val="2"/>
        <c:crosses val="autoZero"/>
        <c:auto val="1"/>
        <c:lblAlgn val="ctr"/>
        <c:lblOffset val="100"/>
      </c:catAx>
      <c:valAx>
        <c:axId val="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"/>
        <c:crosses val="autoZero"/>
        <c:crossBetween val="between"/>
      </c:valAx>
    </c:plotArea>
    <c:legend>
      <c:legendPos val="b"/>
      <c:overlay val="0"/>
    </c:legend>
    <c:plotVisOnly val="1"/>
    <c:dispBlanksAs val="gap"/>
  </c:chart>
</c:chartSpace>
</file>

<file path=word/extendedCharts/_rels/chart.xml.rels>&#65279;<?xml version="1.0" encoding="utf-8"?><Relationships xmlns="http://schemas.openxmlformats.org/package/2006/relationships"><Relationship Type="http://schemas.openxmlformats.org/officeDocument/2006/relationships/package" Target="/word/extendedCharts/embeddings/package.bin" Id="rId1" /><Relationship Type="http://schemas.microsoft.com/office/2011/relationships/chartStyle" Target="/word/extendedCharts/style.xml" Id="rId2" /><Relationship Type="http://schemas.microsoft.com/office/2011/relationships/chartColorStyle" Target="/word/extendedCharts/colors.xml" Id="rId3" /></Relationships>
</file>

<file path=word/extendedCharts/_rels/chart2.xml.rels>&#65279;<?xml version="1.0" encoding="utf-8"?><Relationships xmlns="http://schemas.openxmlformats.org/package/2006/relationships"><Relationship Type="http://schemas.openxmlformats.org/officeDocument/2006/relationships/package" Target="/word/extendedCharts/embeddings/package2.bin" Id="rId1" /><Relationship Type="http://schemas.microsoft.com/office/2011/relationships/chartStyle" Target="/word/extendedCharts/style2.xml" Id="rId2" /><Relationship Type="http://schemas.microsoft.com/office/2011/relationships/chartColorStyle" Target="/word/extendedCharts/colors2.xml" Id="rId3" /></Relationships>
</file>

<file path=word/extendedCharts/chart.xml><?xml version="1.0" encoding="utf-8"?>
<cx:chartSpace xmlns:a="http://schemas.openxmlformats.org/drawingml/2006/main" xmlns:cx="http://schemas.microsoft.com/office/drawing/2014/chartex">
  <cx:chartData>
    <cx:externalData xmlns:r="http://schemas.openxmlformats.org/officeDocument/2006/relationships" r:id="rId1" cx:autoUpdate="0"/>
    <cx:data id="0">
      <cx:strDim type="cat">
        <cx:f>Sheet1!$A$2:$A$6</cx:f>
        <cx:lvl ptCount="5">
          <cx:pt idx="0">Visitors</cx:pt>
          <cx:pt idx="1">Leads</cx:pt>
          <cx:pt idx="2">MQL</cx:pt>
          <cx:pt idx="3">SQL</cx:pt>
          <cx:pt idx="4">Won</cx:pt>
        </cx:lvl>
      </cx:strDim>
      <cx:numDim type="val">
        <cx:f>Sheet1!$B$2:$B$6</cx:f>
        <cx:lvl ptCount="5" formatCode="General">
          <cx:pt idx="0">1000</cx:pt>
          <cx:pt idx="1">720</cx:pt>
          <cx:pt idx="2">430</cx:pt>
          <cx:pt idx="3">210</cx:pt>
          <cx:pt idx="4">95</cx:pt>
        </cx:lvl>
      </cx:numDim>
    </cx:data>
  </cx:chartData>
  <cx:chart>
    <cx:title>
      <cx:tx>
        <cx:rich>
          <a:bodyPr/>
          <a:p>
            <a:r>
              <a:rPr lang="en-US"/>
              <a:t>Sales Funnel</a:t>
            </a:r>
          </a:p>
        </cx:rich>
      </cx:tx>
    </cx:title>
    <cx:plotArea>
      <cx:plotAreaRegion>
        <cx:series layoutId="funnel" uniqueId="{4790D5F5-6848-4EC8-8D58-A55B60672A6B}">
          <cx:tx>
            <cx:txData>
              <cx:f>Sheet1!$B$1</cx:f>
              <cx:v>Stage</cx:v>
            </cx:txData>
          </cx:tx>
          <cx:dataId val="0"/>
        </cx:series>
      </cx:plotAreaRegion>
      <cx:axis id="1">
        <cx:catScaling gapWidth="0.0599999987"/>
        <cx:tickLabels/>
      </cx:axis>
    </cx:plotArea>
  </cx:chart>
</cx:chartSpace>
</file>

<file path=word/extendedCharts/chart2.xml><?xml version="1.0" encoding="utf-8"?>
<cx:chartSpace xmlns:a="http://schemas.openxmlformats.org/drawingml/2006/main" xmlns:cx="http://schemas.microsoft.com/office/drawing/2014/chartex">
  <cx:chartData>
    <cx:externalData xmlns:r="http://schemas.openxmlformats.org/officeDocument/2006/relationships" r:id="rId1" cx:autoUpdate="0"/>
    <cx:data id="0">
      <cx:strDim type="cat">
        <cx:f>Sheet1!$A$2:$A$6</cx:f>
        <cx:lvl ptCount="5">
          <cx:pt idx="0">Video</cx:pt>
          <cx:pt idx="1">Images</cx:pt>
          <cx:pt idx="2">Docs</cx:pt>
          <cx:pt idx="3">Audio</cx:pt>
          <cx:pt idx="4">Other</cx:pt>
        </cx:lvl>
      </cx:strDim>
      <cx:numDim type="size">
        <cx:f>Sheet1!$B$2:$B$6</cx:f>
        <cx:lvl ptCount="5" formatCode="General">
          <cx:pt idx="0">420</cx:pt>
          <cx:pt idx="1">310</cx:pt>
          <cx:pt idx="2">180</cx:pt>
          <cx:pt idx="3">90</cx:pt>
          <cx:pt idx="4">45</cx:pt>
        </cx:lvl>
      </cx:numDim>
    </cx:data>
  </cx:chartData>
  <cx:chart>
    <cx:title>
      <cx:tx>
        <cx:rich>
          <a:bodyPr/>
          <a:p>
            <a:r>
              <a:rPr lang="en-US"/>
              <a:t>Storage by File Type</a:t>
            </a:r>
          </a:p>
        </cx:rich>
      </cx:tx>
    </cx:title>
    <cx:plotArea>
      <cx:plotAreaRegion>
        <cx:series layoutId="treemap" uniqueId="{CF28C905-B143-4B8E-A4E9-37E12C671ECC}">
          <cx:tx>
            <cx:txData>
              <cx:f>Sheet1!$B$1</cx:f>
              <cx:v>Size</cx:v>
            </cx:txData>
          </cx:tx>
          <cx:dataId val="0"/>
          <cx:layoutPr>
            <cx:parentLabelLayout val="overlapping"/>
          </cx:layoutPr>
        </cx:series>
      </cx:plotAreaRegion>
    </cx:plotArea>
  </cx:chart>
</cx:chartSpace>
</file>

<file path=word/extendedCharts/colors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extended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extendedCharts/style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1197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/>
  </cs:valueAxis>
  <cs:wall>
    <cs:lnRef idx="0"/>
    <cs:fillRef idx="0"/>
    <cs:effectRef idx="0"/>
    <cs:fontRef idx="minor">
      <a:schemeClr val="tx1"/>
    </cs:fontRef>
  </cs:wall>
</cs:chartStyle>
</file>

<file path=word/extendedCharts/style2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1197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OfficeCLI/1.0.126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2026-07-01T15:49:46Z</dcterms:created>
  <cp:lastModifiedBy>OfficeCLI</cp:lastModifiedBy>
  <dcterms:modified xsi:type="dcterms:W3CDTF">2026-07-01T15:49:46Z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1.0.126</vt:lpwstr>
  </op:property>
  <op:property fmtid="{D5CDD505-2E9C-101B-9397-08002B2CF9AE}" pid="3" name="OfficeCLI.LastModified">
    <vt:lpwstr xmlns:vt="http://schemas.openxmlformats.org/officeDocument/2006/docPropsVTypes">2026-07-01T15:50:00Z</vt:lpwstr>
  </op:property>
</op:Properties>
</file>