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smdcp" ContentType="application/vnd.openxmlformats-package.core-properties+xml"/>
  <Override PartName="/word/numbering.xml" ContentType="application/vnd.openxmlformats-officedocument.wordprocessingml.numbering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omments.xml" ContentType="application/vnd.openxmlformats-officedocument.wordprocessingml.comment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368faefed4810" /><Relationship Type="http://schemas.openxmlformats.org/package/2006/relationships/metadata/core-properties" Target="/package/services/metadata/core-properties/f1bf0315fe044d0db65f0b77a856c687.psmdcp" Id="R3a18becd3f384df7" /></Relationships>
</file>

<file path=word/document.xml><?xml version="1.0" encoding="utf-8"?>
<w:document xmlns:wp="http://schemas.openxmlformats.org/drawingml/2006/wordprocessingDrawing" xmlns:a="http://schemas.openxmlformats.org/drawingml/2006/main" xmlns:r="http://schemas.openxmlformats.org/officeDocument/2006/relationships" xmlns:c="http://schemas.openxmlformats.org/drawingml/2006/chart" xmlns:w="http://schemas.openxmlformats.org/wordprocessingml/2006/main">
  <w:body xmlns:wp="http://schemas.openxmlformats.org/drawingml/2006/wordprocessingDrawing" xmlns:a="http://schemas.openxmlformats.org/drawingml/2006/main" xmlns:r="http://schemas.openxmlformats.org/officeDocument/2006/relationships" xmlns:c="http://schemas.openxmlformats.org/drawingml/2006/chart" xmlns:w="http://schemas.openxmlformats.org/wordprocessingml/2006/main">
    <w:p>
      <w:pPr>
        <w:spacing w:before="2400" w:after="120"/>
        <w:jc w:val="center"/>
      </w:pPr>
      <w:r>
        <w:rPr>
          <w:rFonts w:ascii="Microsoft YaHei" w:hAnsi="Microsoft YaHei" w:eastAsia="Microsoft YaHei"/>
          <w:b/>
          <w:color w:val="2857A4"/>
          <w:sz w:val="48"/>
        </w:rPr>
        <w:t xml:space="preserve">Smart City Digital Twin Platform</w:t>
      </w:r>
    </w:p>
    <w:p>
      <w:pPr>
        <w:spacing w:after="960"/>
        <w:jc w:val="center"/>
      </w:pPr>
      <w:r>
        <w:rPr>
          <w:rFonts w:ascii="Microsoft YaHei" w:hAnsi="Microsoft YaHei" w:eastAsia="Microsoft YaHei"/>
          <w:color w:val="2857A4"/>
          <w:sz w:val="36"/>
        </w:rPr>
        <w:t xml:space="preserve">Project Proposal v2.0</w:t>
      </w:r>
    </w:p>
    <w:p>
      <w:pPr>
        <w:spacing w:after="120"/>
        <w:jc w:val="center"/>
      </w:pPr>
      <w:r>
        <w:rPr>
          <w:rFonts w:ascii="Microsoft YaHei" w:hAnsi="Microsoft YaHei" w:eastAsia="Microsoft YaHei"/>
          <w:color w:val="333333"/>
          <w:sz w:val="28"/>
        </w:rPr>
        <w:t xml:space="preserve">Submitted by: DeepCity Technologies</w:t>
      </w:r>
    </w:p>
    <w:p>
      <w:pPr>
        <w:spacing w:after="120"/>
        <w:jc w:val="center"/>
      </w:pPr>
      <w:r>
        <w:rPr>
          <w:rFonts w:ascii="Microsoft YaHei" w:hAnsi="Microsoft YaHei" w:eastAsia="Microsoft YaHei"/>
          <w:color w:val="333333"/>
          <w:sz w:val="28"/>
        </w:rPr>
        <w:t xml:space="preserve">Date: March 2026</w:t>
      </w:r>
    </w:p>
    <w:p>
      <w:pPr>
        <w:spacing w:after="480"/>
        <w:jc w:val="center"/>
      </w:pPr>
      <w:r>
        <w:rPr>
          <w:rFonts w:ascii="Microsoft YaHei" w:hAnsi="Microsoft YaHei" w:eastAsia="Microsoft YaHei"/>
          <w:color w:val="666666"/>
          <w:sz w:val="24"/>
        </w:rPr>
        <w:t xml:space="preserve">Version: v2.0</w:t>
      </w:r>
    </w:p>
    <w:p>
      <w:r>
        <w:br w:type="page"/>
      </w:r>
    </w:p>
    <w:p>
      <w:pPr>
        <w:pStyle w:val="Heading1"/>
        <w:spacing w:before="360" w:after="120"/>
        <w:rPr>
          <w:sz w:val="36"/>
        </w:rPr>
      </w:pPr>
      <w:r>
        <w:rPr>
          <w:rFonts w:ascii="Microsoft YaHei" w:hAnsi="Microsoft YaHei" w:eastAsia="Microsoft YaHei"/>
          <w:color w:val="2857A4"/>
          <w:sz w:val="36"/>
        </w:rPr>
        <w:t xml:space="preserve">Revision History</w:t>
      </w:r>
    </w:p>
    <w:tbl>
      <w:tblPr>
        <w:tblW w:w="5000" w:type="pct"/>
        <w:tblBorders>
          <w:top w:val="single" w:color="2857A4" w:sz="4" w:space="0"/>
          <w:left w:val="single" w:color="2857A4" w:sz="4" w:space="0"/>
          <w:bottom w:val="single" w:color="2857A4" w:sz="4" w:space="0"/>
          <w:right w:val="single" w:color="2857A4" w:sz="4" w:space="0"/>
          <w:insideH w:val="single" w:color="2857A4" w:sz="4" w:space="0"/>
          <w:insideV w:val="single" w:color="2857A4" w:sz="4" w:space="0"/>
        </w:tblBorders>
      </w:tblPr>
      <w:tblGrid>
        <w:gridCol w:w="2400"/>
        <w:gridCol w:w="2400"/>
        <w:gridCol w:w="2400"/>
        <w:gridCol w:w="2400"/>
      </w:tblGrid>
      <w:tr>
        <w:trPr/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Version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Date</w:t>
            </w:r>
          </w:p>
        </w:tc>
        <w:tc>
          <w:tcPr>
            <w:shd w:val="clear" w:fill="2857A4"/>
          </w:tcPr>
          <w:p>
            <w:pPr>
              <w:pBdr>
                <w:left w:val="single" w:color="2857A4" w:sz="4" w:space="8"/>
              </w:pBd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Author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Description</w:t>
            </w:r>
          </w:p>
        </w:tc>
      </w:tr>
      <w:tr>
        <w:trPr/>
        <w:tc>
          <w:p>
            <w:pPr>
              <w:spacing w:after="0" w:line="240" w:lineRule="auto"/>
            </w:pPr>
            <w:r>
              <w:t xml:space="preserve">v1.0</w:t>
            </w:r>
          </w:p>
        </w:tc>
        <w:tc>
          <w:p>
            <w:pPr>
              <w:spacing w:after="0" w:line="240" w:lineRule="auto"/>
            </w:pPr>
            <w:r>
              <w:t xml:space="preserve">2025-09-15</w:t>
            </w:r>
          </w:p>
        </w:tc>
        <w:tc>
          <w:tcPr/>
          <w:p>
            <w:pPr>
              <w:spacing w:after="0" w:line="240" w:lineRule="auto"/>
            </w:pPr>
            <w:r>
              <w:t xml:space="preserve">Ming Zhang</w:t>
            </w:r>
          </w:p>
        </w:tc>
        <w:tc>
          <w:tcPr/>
          <w:p>
            <w:pPr>
              <w:spacing w:after="0" w:line="240" w:lineRule="auto"/>
            </w:pPr>
            <w:r>
              <w:t xml:space="preserve">Initial version</w:t>
            </w:r>
          </w:p>
        </w:tc>
      </w:tr>
      <w:tr>
        <w:trPr/>
        <w:tc>
          <w:p>
            <w:pPr>
              <w:spacing w:after="0" w:line="240" w:lineRule="auto"/>
            </w:pPr>
            <w:r>
              <w:t xml:space="preserve">v1.5</w:t>
            </w:r>
          </w:p>
        </w:tc>
        <w:tc>
          <w:p>
            <w:pPr>
              <w:spacing w:after="0" w:line="240" w:lineRule="auto"/>
            </w:pPr>
            <w:r>
              <w:t xml:space="preserve">2025-12-20</w:t>
            </w:r>
          </w:p>
        </w:tc>
        <w:tc>
          <w:tcPr/>
          <w:p>
            <w:pPr>
              <w:spacing w:after="0" w:line="240" w:lineRule="auto"/>
            </w:pPr>
            <w:r>
              <w:t xml:space="preserve">Ting Li</w:t>
            </w:r>
          </w:p>
        </w:tc>
        <w:tc>
          <w:tcPr/>
          <w:p>
            <w:pPr>
              <w:spacing w:after="0" w:line="240" w:lineRule="auto"/>
            </w:pPr>
            <w:r>
              <w:t xml:space="preserve">Added technical solution details</w:t>
            </w:r>
          </w:p>
        </w:tc>
      </w:tr>
      <w:tr>
        <w:trPr/>
        <w:tc>
          <w:p>
            <w:pPr>
              <w:spacing w:after="0" w:line="240" w:lineRule="auto"/>
            </w:pPr>
            <w:r>
              <w:t xml:space="preserve">v2.0</w:t>
            </w:r>
          </w:p>
        </w:tc>
        <w:tc>
          <w:p>
            <w:pPr>
              <w:spacing w:after="0" w:line="240" w:lineRule="auto"/>
            </w:pPr>
            <w:r>
              <w:t xml:space="preserve">2026-03-10</w:t>
            </w:r>
          </w:p>
        </w:tc>
        <w:tc>
          <w:tcPr/>
          <w:p>
            <w:pPr>
              <w:spacing w:after="0" w:line="240" w:lineRule="auto"/>
            </w:pPr>
            <w:r>
              <w:t xml:space="preserve">Qiang Wang</w:t>
            </w:r>
          </w:p>
        </w:tc>
        <w:tc>
          <w:tcPr/>
          <w:p>
            <w:pPr>
              <w:spacing w:after="0" w:line="240" w:lineRule="auto"/>
            </w:pPr>
            <w:r>
              <w:t xml:space="preserve">Updated budget and milestones</w:t>
            </w:r>
          </w:p>
        </w:tc>
      </w:tr>
    </w:tbl>
    <w:p>
      <w:r>
        <w:br w:type="page"/>
      </w:r>
    </w:p>
    <w:p>
      <w:pPr>
        <w:pStyle w:val="Heading1"/>
        <w:spacing w:before="360" w:after="120"/>
        <w:rPr>
          <w:sz w:val="36"/>
        </w:rPr>
      </w:pPr>
      <w:r>
        <w:rPr>
          <w:rFonts w:ascii="Microsoft YaHei" w:hAnsi="Microsoft YaHei" w:eastAsia="Microsoft YaHei"/>
          <w:color w:val="2857A4"/>
          <w:sz w:val="36"/>
        </w:rPr>
        <w:t xml:space="preserve">1. Project Overview</w:t>
      </w:r>
    </w:p>
    <w:p>
      <w:pPr>
        <w:pBdr>
          <w:left w:val="single" w:color="2857A4" w:sz="4" w:space="8"/>
        </w:pBdr>
        <w:spacing w:after="240"/>
        <w:ind w:start="480"/>
      </w:pPr>
      <w:r>
        <w:rPr>
          <w:rFonts w:ascii="Microsoft YaHei" w:hAnsi="Microsoft YaHei" w:eastAsia="Microsoft YaHei"/>
          <w:i/>
          <w:color w:val="2857A4"/>
          <w:sz w:val="22"/>
        </w:rPr>
        <w:t xml:space="preserve">Vision: Build a city-level digital twin platform that enables real-time mapping and intelligent interaction between the physical city and digital space, providing city administrators with a panoramic decision support system and driving smart city concepts into practical implementation.</w:t>
      </w:r>
    </w:p>
    <w:p>
      <w:pPr>
        <w:spacing w:after="120"/>
      </w:pPr>
      <w:r>
        <w:rPr>
          <w:rFonts w:ascii="Microsoft YaHei" w:hAnsi="Microsoft YaHei" w:eastAsia="Microsoft YaHei"/>
          <w:sz w:val="22"/>
        </w:rPr>
        <w:t xml:space="preserve">This project aims to leverage IoT, digital twin, big data, and artificial intelligence technologies to build a comprehensive management platform for smart cities. The platform will cover core urban governance scenarios including traffic management, environmental monitoring, energy optimization, and emergency response, enabling precise decision-making through real-time data collection and 3D visualization.</w:t>
      </w:r>
    </w:p>
    <w:p>
      <w:pPr>
        <w:spacing w:after="240"/>
      </w:pPr>
      <w:r>
        <w:rPr>
          <w:rFonts w:ascii="Microsoft YaHei" w:hAnsi="Microsoft YaHei" w:eastAsia="Microsoft YaHei"/>
          <w:sz w:val="22"/>
        </w:rPr>
        <w:t xml:space="preserve">Phase 1 plans to cover 30 square kilometers of the downtown core area, deploying over 10,000 IoT sensor nodes and building a city-level 3D digital twin foundation, expected to serve 15 government departments and benefit 2 million residents.</w:t>
      </w:r>
    </w:p>
    <w:p>
      <w:pPr>
        <w:pStyle w:val="Heading1"/>
        <w:spacing w:before="360" w:after="120"/>
        <w:rPr>
          <w:sz w:val="36"/>
        </w:rPr>
      </w:pPr>
      <w:r>
        <w:rPr>
          <w:rFonts w:ascii="Microsoft YaHei" w:hAnsi="Microsoft YaHei" w:eastAsia="Microsoft YaHei"/>
          <w:color w:val="2857A4"/>
          <w:sz w:val="36"/>
        </w:rPr>
        <w:t xml:space="preserve">2. Technical Solution</w:t>
      </w:r>
    </w:p>
    <w:p>
      <w:pPr>
        <w:numPr>
          <w:ilvl w:val="0"/>
          <w:numId w:val="1"/>
        </w:numPr>
        <w:rPr>
          <w:sz w:val="26"/>
        </w:rPr>
      </w:pPr>
      <w:r>
        <w:rPr>
          <w:rFonts w:ascii="Microsoft YaHei" w:hAnsi="Microsoft YaHei" w:eastAsia="Microsoft YaHei"/>
          <w:b/>
          <w:sz w:val="26"/>
        </w:rPr>
        <w:t xml:space="preserve">1. Data Collection Layer</w:t>
      </w:r>
    </w:p>
    <w:p>
      <w:pPr>
        <w:numPr>
          <w:ilvl w:val="0"/>
          <w:numId w:val="1"/>
        </w:numPr>
        <w:rPr>
          <w:sz w:val="26"/>
        </w:rPr>
      </w:pPr>
      <w:r>
        <w:rPr>
          <w:rFonts w:ascii="Microsoft YaHei" w:hAnsi="Microsoft YaHei" w:eastAsia="Microsoft YaHei"/>
          <w:sz w:val="26"/>
        </w:rPr>
        <w:t xml:space="preserve">1. IoT Sensor Network — Deploy multiple sensor types including temperature/humidity, air quality, noise, and traffic flow sensors, achieving low-power wide-area coverage via LoRaWAN/NB-IoT protocols with millisecond-level data reporting.</w:t>
      </w:r>
    </w:p>
    <w:p>
      <w:pPr>
        <w:numPr>
          <w:ilvl w:val="0"/>
          <w:numId w:val="1"/>
        </w:numPr>
        <w:rPr>
          <w:sz w:val="26"/>
        </w:rPr>
      </w:pPr>
      <w:r>
        <w:rPr>
          <w:rFonts w:ascii="Microsoft YaHei" w:hAnsi="Microsoft YaHei" w:eastAsia="Microsoft YaHei"/>
          <w:sz w:val="26"/>
        </w:rPr>
        <w:t xml:space="preserve">1. Drone Inspection System — Equipped with high-precision LiDAR and multispectral cameras, performing scheduled automated inspection missions to generate centimeter-level 3D point cloud data for urban modeling and change detection.</w:t>
      </w:r>
    </w:p>
    <w:p>
      <w:pPr>
        <w:numPr>
          <w:ilvl w:val="0"/>
          <w:numId w:val="1"/>
        </w:numPr>
        <w:rPr>
          <w:sz w:val="26"/>
        </w:rPr>
      </w:pPr>
      <w:r>
        <w:rPr>
          <w:rFonts w:ascii="Microsoft YaHei" w:hAnsi="Microsoft YaHei" w:eastAsia="Microsoft YaHei"/>
          <w:sz w:val="26"/>
        </w:rPr>
        <w:t xml:space="preserve">1. Digital Twin Platform Layer — Built on cloud-native architecture (Kubernetes + microservices), integrating real-time stream processing engine (Apache Flink) and graphics rendering engine (Cesium/Unity) to construct a high-performance urban digital twin foundation.</w:t>
      </w:r>
    </w:p>
    <w:p>
      <w:pPr>
        <w:numPr>
          <w:ilvl w:val="0"/>
          <w:numId w:val="1"/>
        </w:numPr>
        <w:spacing w:after="240"/>
        <w:rPr>
          <w:sz w:val="26"/>
        </w:rPr>
      </w:pPr>
      <w:r>
        <w:rPr>
          <w:rFonts w:ascii="Microsoft YaHei" w:hAnsi="Microsoft YaHei" w:eastAsia="Microsoft YaHei"/>
          <w:sz w:val="26"/>
        </w:rPr>
        <w:t xml:space="preserve">1. Smart Application Layer — Targeting four major scenarios: traffic optimization, environmental monitoring, emergency command, and energy management, providing AI-driven predictive analytics, anomaly detection, and decision recommendation services.</w:t>
      </w:r>
    </w:p>
    <w:p>
      <w:pPr>
        <w:pStyle w:val="Heading1"/>
        <w:spacing w:before="360" w:after="120"/>
        <w:rPr>
          <w:sz w:val="36"/>
        </w:rPr>
      </w:pPr>
      <w:r>
        <w:rPr>
          <w:rFonts w:ascii="Microsoft YaHei" w:hAnsi="Microsoft YaHei" w:eastAsia="Microsoft YaHei"/>
          <w:color w:val="2857A4"/>
          <w:sz w:val="36"/>
        </w:rPr>
        <w:t xml:space="preserve">3. Team Structure</w:t>
      </w:r>
    </w:p>
    <w:tbl>
      <w:tblPr>
        <w:tblW w:w="5000" w:type="pct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</w:tblPr>
      <w:tblGrid>
        <w:gridCol w:w="2400"/>
        <w:gridCol w:w="2400"/>
        <w:gridCol w:w="2400"/>
        <w:gridCol w:w="2400"/>
      </w:tblGrid>
      <w:tr>
        <w:trPr/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Name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Title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Responsibilities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Experience</w:t>
            </w:r>
          </w:p>
        </w:tc>
      </w:tr>
      <w:tr>
        <w:trPr/>
        <w:tc>
          <w:tcPr/>
          <w:p>
            <w:pPr>
              <w:spacing w:after="0" w:line="240" w:lineRule="auto"/>
            </w:pPr>
            <w:r>
              <w:t xml:space="preserve">Wei Zhao</w:t>
            </w:r>
          </w:p>
        </w:tc>
        <w:tc>
          <w:tcPr/>
          <w:p>
            <w:pPr>
              <w:spacing w:after="0" w:line="240" w:lineRule="auto"/>
            </w:pPr>
            <w:r>
              <w:t xml:space="preserve">Project Director</w:t>
            </w:r>
          </w:p>
        </w:tc>
        <w:tc>
          <w:tcPr/>
          <w:p>
            <w:pPr>
              <w:spacing w:after="0" w:line="240" w:lineRule="auto"/>
            </w:pPr>
            <w:r>
              <w:t xml:space="preserve">Overall project management and client liaison</w:t>
            </w:r>
          </w:p>
        </w:tc>
        <w:tc>
          <w:tcPr/>
          <w:p>
            <w:pPr>
              <w:spacing w:after="0" w:line="240" w:lineRule="auto"/>
            </w:pPr>
            <w:r>
              <w:t xml:space="preserve">15 years</w:t>
            </w:r>
          </w:p>
        </w:tc>
      </w:tr>
      <w:tr>
        <w:trPr/>
        <w:tc>
          <w:tcPr>
            <w:shd w:val="clear" w:fill="EBF0F7"/>
          </w:tcPr>
          <w:p>
            <w:pPr>
              <w:spacing w:after="0" w:line="240" w:lineRule="auto"/>
            </w:pPr>
            <w:r>
              <w:t xml:space="preserve">Ming Zhang</w:t>
            </w:r>
          </w:p>
        </w:tc>
        <w:tc>
          <w:tcPr>
            <w:shd w:val="clear" w:fill="EBF0F7"/>
          </w:tcPr>
          <w:p>
            <w:pPr>
              <w:spacing w:after="0" w:line="240" w:lineRule="auto"/>
            </w:pPr>
            <w:r>
              <w:t xml:space="preserve">Chief Architect</w:t>
            </w:r>
          </w:p>
        </w:tc>
        <w:tc>
          <w:tcPr>
            <w:shd w:val="clear" w:fill="EBF0F7"/>
          </w:tcPr>
          <w:p>
            <w:pPr>
              <w:spacing w:after="0" w:line="240" w:lineRule="auto"/>
            </w:pPr>
            <w:r>
              <w:t xml:space="preserve">System architecture design and technology selection</w:t>
            </w:r>
          </w:p>
        </w:tc>
        <w:tc>
          <w:tcPr>
            <w:shd w:val="clear" w:fill="EBF0F7"/>
          </w:tcPr>
          <w:p>
            <w:pPr>
              <w:spacing w:after="0" w:line="240" w:lineRule="auto"/>
            </w:pPr>
            <w:r>
              <w:t xml:space="preserve">12 years</w:t>
            </w:r>
          </w:p>
        </w:tc>
      </w:tr>
      <w:tr>
        <w:trPr/>
        <w:tc>
          <w:tcPr/>
          <w:p>
            <w:pPr>
              <w:spacing w:after="0" w:line="240" w:lineRule="auto"/>
            </w:pPr>
            <w:r>
              <w:t xml:space="preserve">Ting Li</w:t>
            </w:r>
          </w:p>
        </w:tc>
        <w:tc>
          <w:tcPr/>
          <w:p>
            <w:pPr>
              <w:spacing w:after="0" w:line="240" w:lineRule="auto"/>
            </w:pPr>
            <w:r>
              <w:t xml:space="preserve">Data Engineer</w:t>
            </w:r>
          </w:p>
        </w:tc>
        <w:tc>
          <w:tcPr/>
          <w:p>
            <w:pPr>
              <w:spacing w:after="0" w:line="240" w:lineRule="auto"/>
            </w:pPr>
            <w:r>
              <w:t xml:space="preserve">Data pipelines and real-time stream processing</w:t>
            </w:r>
          </w:p>
        </w:tc>
        <w:tc>
          <w:tcPr/>
          <w:p>
            <w:pPr>
              <w:spacing w:after="0" w:line="240" w:lineRule="auto"/>
            </w:pPr>
            <w:r>
              <w:t xml:space="preserve">8 years</w:t>
            </w:r>
          </w:p>
        </w:tc>
      </w:tr>
      <w:tr>
        <w:trPr/>
        <w:tc>
          <w:tcPr>
            <w:shd w:val="clear" w:fill="EBF0F7"/>
          </w:tcPr>
          <w:p>
            <w:pPr>
              <w:spacing w:after="0" w:line="240" w:lineRule="auto"/>
            </w:pPr>
            <w:r>
              <w:t xml:space="preserve">Qiang Wang</w:t>
            </w:r>
          </w:p>
        </w:tc>
        <w:tc>
          <w:tcPr>
            <w:shd w:val="clear" w:fill="EBF0F7"/>
          </w:tcPr>
          <w:p>
            <w:pPr>
              <w:spacing w:after="0" w:line="240" w:lineRule="auto"/>
            </w:pPr>
            <w:r>
              <w:t xml:space="preserve">Frontend Lead</w:t>
            </w:r>
          </w:p>
        </w:tc>
        <w:tc>
          <w:tcPr>
            <w:shd w:val="clear" w:fill="EBF0F7"/>
          </w:tcPr>
          <w:p>
            <w:pPr>
              <w:spacing w:after="0" w:line="240" w:lineRule="auto"/>
            </w:pPr>
            <w:r>
              <w:t xml:space="preserve">3D visualization and interaction design</w:t>
            </w:r>
          </w:p>
        </w:tc>
        <w:tc>
          <w:tcPr>
            <w:shd w:val="clear" w:fill="EBF0F7"/>
          </w:tcPr>
          <w:p>
            <w:pPr>
              <w:spacing w:after="0" w:line="240" w:lineRule="auto"/>
            </w:pPr>
            <w:r>
              <w:t xml:space="preserve">10 years</w:t>
            </w:r>
          </w:p>
        </w:tc>
      </w:tr>
      <w:tr>
        <w:trPr/>
        <w:tc>
          <w:tcPr/>
          <w:p>
            <w:pPr>
              <w:spacing w:after="0" w:line="240" w:lineRule="auto"/>
            </w:pPr>
            <w:r>
              <w:t xml:space="preserve">Xiao Chen</w:t>
            </w:r>
          </w:p>
        </w:tc>
        <w:tc>
          <w:tcPr/>
          <w:p>
            <w:pPr>
              <w:spacing w:after="0" w:line="240" w:lineRule="auto"/>
            </w:pPr>
            <w:r>
              <w:t xml:space="preserve">IoT Engineer</w:t>
            </w:r>
          </w:p>
        </w:tc>
        <w:tc>
          <w:tcPr/>
          <w:p>
            <w:pPr>
              <w:spacing w:after="0" w:line="240" w:lineRule="auto"/>
            </w:pPr>
            <w:r>
              <w:t xml:space="preserve">Sensor deployment and edge computing</w:t>
            </w:r>
          </w:p>
        </w:tc>
        <w:tc>
          <w:tcPr/>
          <w:p>
            <w:pPr>
              <w:spacing w:after="0" w:line="240" w:lineRule="auto"/>
            </w:pPr>
            <w:r>
              <w:t xml:space="preserve">6 years</w:t>
            </w:r>
          </w:p>
        </w:tc>
      </w:tr>
      <w:tr>
        <w:trPr/>
        <w:tc>
          <w:tcPr>
            <w:shd w:val="clear" w:fill="EBF0F7"/>
          </w:tcPr>
          <w:p>
            <w:pPr>
              <w:spacing w:after="0" w:line="240" w:lineRule="auto"/>
            </w:pPr>
            <w:r>
              <w:t xml:space="preserve">Fang Liu</w:t>
            </w:r>
          </w:p>
        </w:tc>
        <w:tc>
          <w:tcPr>
            <w:shd w:val="clear" w:fill="EBF0F7"/>
          </w:tcPr>
          <w:p>
            <w:pPr>
              <w:spacing w:after="0" w:line="240" w:lineRule="auto"/>
            </w:pPr>
            <w:r>
              <w:t xml:space="preserve">QA Lead</w:t>
            </w:r>
          </w:p>
        </w:tc>
        <w:tc>
          <w:tcPr>
            <w:shd w:val="clear" w:fill="EBF0F7"/>
          </w:tcPr>
          <w:p>
            <w:pPr>
              <w:spacing w:after="0" w:line="240" w:lineRule="auto"/>
            </w:pPr>
            <w:r>
              <w:t xml:space="preserve">Quality assurance and test automation</w:t>
            </w:r>
          </w:p>
        </w:tc>
        <w:tc>
          <w:tcPr>
            <w:shd w:val="clear" w:fill="EBF0F7"/>
          </w:tcPr>
          <w:p>
            <w:pPr>
              <w:spacing w:after="0" w:line="240" w:lineRule="auto"/>
            </w:pPr>
            <w:r>
              <w:t xml:space="preserve">9 years</w:t>
            </w:r>
          </w:p>
        </w:tc>
      </w:tr>
    </w:tbl>
    <w:p>
      <w:pPr>
        <w:pStyle w:val="Heading1"/>
        <w:spacing w:before="360" w:after="120"/>
        <w:rPr>
          <w:sz w:val="36"/>
        </w:rPr>
      </w:pPr>
      <w:r>
        <w:rPr>
          <w:rFonts w:ascii="Microsoft YaHei" w:hAnsi="Microsoft YaHei" w:eastAsia="Microsoft YaHei"/>
          <w:color w:val="2857A4"/>
          <w:sz w:val="36"/>
        </w:rPr>
        <w:t xml:space="preserve">4. Project Timeline</w:t>
      </w:r>
    </w:p>
    <w:p>
      <w:pPr>
        <w:spacing w:after="120"/>
      </w:pPr>
      <w:r>
        <w:rPr>
          <w:rFonts w:ascii="Microsoft YaHei" w:hAnsi="Microsoft YaHei" w:eastAsia="Microsoft YaHei"/>
          <w:sz w:val="22"/>
        </w:rPr>
        <w:t xml:space="preserve">The following outlines the five major project milestones:</w:t>
      </w:r>
    </w:p>
    <w:p>
      <w:r>
        <w:drawing>
          <wp:inline xmlns:wp="http://schemas.openxmlformats.org/drawingml/2006/wordprocessingDrawing" distT="0" distB="0" distL="0" distR="0">
            <wp:extent cx="5760000" cy="3600000"/>
            <wp:effectExtent l="0" t="0" r="0" b="0"/>
            <wp:docPr id="1" name="项目里程碑时间线"/>
            <wp:cNvGraphicFramePr/>
            <a:graphic xmlns:a="http://schemas.openxmlformats.org/drawingml/2006/main">
              <a:graphicData uri="http://schemas.openxmlformats.org/drawingml/2006/chart">
                <c:chart xmlns:r="http://schemas.openxmlformats.org/officeDocument/2006/relationships" xmlns:c="http://schemas.openxmlformats.org/drawingml/2006/chart" r:id="R310a783dc0c64a17"/>
              </a:graphicData>
            </a:graphic>
          </wp:inline>
        </w:drawing>
      </w:r>
    </w:p>
    <w:p>
      <w:pPr>
        <w:pStyle w:val="Heading1"/>
        <w:spacing w:before="360" w:after="120"/>
        <w:rPr>
          <w:sz w:val="36"/>
        </w:rPr>
      </w:pPr>
      <w:commentRangeStart w:id="1"/>
      <w:r>
        <w:rPr>
          <w:rFonts w:ascii="Microsoft YaHei" w:hAnsi="Microsoft YaHei" w:eastAsia="Microsoft YaHei"/>
          <w:color w:val="2857A4"/>
          <w:sz w:val="36"/>
        </w:rPr>
        <w:t xml:space="preserve">5. Budget</w:t>
      </w:r>
      <w:commentRangeEnd w:id="1"/>
    </w:p>
    <w:p>
      <w:pPr>
        <w:spacing w:after="120"/>
      </w:pPr>
      <w:r>
        <w:rPr>
          <w:rFonts w:ascii="Microsoft YaHei" w:hAnsi="Microsoft YaHei" w:eastAsia="Microsoft YaHei"/>
          <w:sz w:val="22"/>
        </w:rPr>
        <w:t xml:space="preserve">The following shows the quarterly budget allocation (unit: 10,000 CNY):</w:t>
      </w:r>
    </w:p>
    <w:tbl>
      <w:tblPr>
        <w:tblW w:w="5000" w:type="pct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</w:tblPr>
      <w:tblGrid>
        <w:gridCol w:w="2400"/>
        <w:gridCol w:w="2400"/>
        <w:gridCol w:w="2400"/>
        <w:gridCol w:w="2400"/>
        <w:gridCol w:w="2400"/>
        <w:gridCol w:w="2400"/>
      </w:tblGrid>
      <w:tr>
        <w:trPr/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Item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Q1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Q2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Q3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Q4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Total</w:t>
            </w:r>
          </w:p>
        </w:tc>
      </w:tr>
      <w:tr>
        <w:trPr/>
        <w:tc>
          <w:tcPr/>
          <w:p>
            <w:pPr>
              <w:spacing w:after="0" w:line="240" w:lineRule="auto"/>
            </w:pPr>
            <w:r>
              <w:t xml:space="preserve">Hardware Procurement</w:t>
            </w:r>
          </w:p>
        </w:tc>
        <w:tc>
          <w:p>
            <w:pPr>
              <w:spacing w:after="0" w:line="240" w:lineRule="auto"/>
            </w:pPr>
            <w:r>
              <w:t xml:space="preserve">150</w:t>
            </w:r>
          </w:p>
        </w:tc>
        <w:tc>
          <w:p>
            <w:pPr>
              <w:spacing w:after="0" w:line="240" w:lineRule="auto"/>
            </w:pPr>
            <w:r>
              <w:t xml:space="preserve">80</w:t>
            </w:r>
          </w:p>
        </w:tc>
        <w:tc>
          <w:p>
            <w:pPr>
              <w:spacing w:after="0" w:line="240" w:lineRule="auto"/>
            </w:pPr>
            <w:r>
              <w:t xml:space="preserve">50</w:t>
            </w:r>
          </w:p>
        </w:tc>
        <w:tc>
          <w:p>
            <w:pPr>
              <w:spacing w:after="0" w:line="240" w:lineRule="auto"/>
            </w:pPr>
            <w:r>
              <w:t xml:space="preserve">20</w:t>
            </w:r>
          </w:p>
        </w:tc>
        <w:tc>
          <w:p>
            <w:pPr>
              <w:spacing w:after="0" w:line="240" w:lineRule="auto"/>
            </w:pPr>
            <w:r>
              <w:t xml:space="preserve">300</w:t>
            </w:r>
          </w:p>
        </w:tc>
      </w:tr>
      <w:tr>
        <w:trPr/>
        <w:tc>
          <w:tcPr/>
          <w:p>
            <w:pPr>
              <w:spacing w:after="0" w:line="240" w:lineRule="auto"/>
            </w:pPr>
            <w:r>
              <w:t xml:space="preserve">Software Development</w:t>
            </w:r>
          </w:p>
        </w:tc>
        <w:tc>
          <w:p>
            <w:pPr>
              <w:spacing w:after="0" w:line="240" w:lineRule="auto"/>
            </w:pPr>
            <w:r>
              <w:t xml:space="preserve">60</w:t>
            </w:r>
          </w:p>
        </w:tc>
        <w:tc>
          <w:p>
            <w:pPr>
              <w:spacing w:after="0" w:line="240" w:lineRule="auto"/>
            </w:pPr>
            <w:r>
              <w:t xml:space="preserve">120</w:t>
            </w:r>
          </w:p>
        </w:tc>
        <w:tc>
          <w:p>
            <w:pPr>
              <w:spacing w:after="0" w:line="240" w:lineRule="auto"/>
            </w:pPr>
            <w:r>
              <w:t xml:space="preserve">120</w:t>
            </w:r>
          </w:p>
        </w:tc>
        <w:tc>
          <w:p>
            <w:pPr>
              <w:spacing w:after="0" w:line="240" w:lineRule="auto"/>
            </w:pPr>
            <w:r>
              <w:t xml:space="preserve">60</w:t>
            </w:r>
          </w:p>
        </w:tc>
        <w:tc>
          <w:p>
            <w:pPr>
              <w:spacing w:after="0" w:line="240" w:lineRule="auto"/>
            </w:pPr>
            <w:r>
              <w:t xml:space="preserve">360</w:t>
            </w:r>
          </w:p>
        </w:tc>
      </w:tr>
      <w:tr>
        <w:trPr/>
        <w:tc>
          <w:tcPr/>
          <w:p>
            <w:pPr>
              <w:spacing w:after="0" w:line="240" w:lineRule="auto"/>
            </w:pPr>
            <w:r>
              <w:t xml:space="preserve">Cloud Services</w:t>
            </w:r>
          </w:p>
        </w:tc>
        <w:tc>
          <w:p>
            <w:pPr>
              <w:spacing w:after="0" w:line="240" w:lineRule="auto"/>
            </w:pPr>
            <w:r>
              <w:t xml:space="preserve">30</w:t>
            </w:r>
          </w:p>
        </w:tc>
        <w:tc>
          <w:p>
            <w:pPr>
              <w:spacing w:after="0" w:line="240" w:lineRule="auto"/>
            </w:pPr>
            <w:r>
              <w:t xml:space="preserve">30</w:t>
            </w:r>
          </w:p>
        </w:tc>
        <w:tc>
          <w:p>
            <w:pPr>
              <w:spacing w:after="0" w:line="240" w:lineRule="auto"/>
            </w:pPr>
            <w:r>
              <w:t xml:space="preserve">40</w:t>
            </w:r>
          </w:p>
        </w:tc>
        <w:tc>
          <w:p>
            <w:pPr>
              <w:spacing w:after="0" w:line="240" w:lineRule="auto"/>
            </w:pPr>
            <w:r>
              <w:t xml:space="preserve">40</w:t>
            </w:r>
          </w:p>
        </w:tc>
        <w:tc>
          <w:p>
            <w:pPr>
              <w:spacing w:after="0" w:line="240" w:lineRule="auto"/>
            </w:pPr>
            <w:r>
              <w:t xml:space="preserve">140</w:t>
            </w:r>
          </w:p>
        </w:tc>
      </w:tr>
      <w:tr>
        <w:trPr/>
        <w:tc>
          <w:tcPr/>
          <w:p>
            <w:pPr>
              <w:spacing w:after="0" w:line="240" w:lineRule="auto"/>
            </w:pPr>
            <w:r>
              <w:t xml:space="preserve">Personnel Costs</w:t>
            </w:r>
          </w:p>
        </w:tc>
        <w:tc>
          <w:p>
            <w:pPr>
              <w:spacing w:after="0" w:line="240" w:lineRule="auto"/>
            </w:pPr>
            <w:r>
              <w:t xml:space="preserve">100</w:t>
            </w:r>
          </w:p>
        </w:tc>
        <w:tc>
          <w:p>
            <w:pPr>
              <w:spacing w:after="0" w:line="240" w:lineRule="auto"/>
            </w:pPr>
            <w:r>
              <w:t xml:space="preserve">120</w:t>
            </w:r>
          </w:p>
        </w:tc>
        <w:tc>
          <w:p>
            <w:pPr>
              <w:spacing w:after="0" w:line="240" w:lineRule="auto"/>
            </w:pPr>
            <w:r>
              <w:t xml:space="preserve">120</w:t>
            </w:r>
          </w:p>
        </w:tc>
        <w:tc>
          <w:p>
            <w:pPr>
              <w:spacing w:after="0" w:line="240" w:lineRule="auto"/>
            </w:pPr>
            <w:r>
              <w:t xml:space="preserve">80</w:t>
            </w:r>
          </w:p>
        </w:tc>
        <w:tc>
          <w:p>
            <w:pPr>
              <w:spacing w:after="0" w:line="240" w:lineRule="auto"/>
            </w:pPr>
            <w:r>
              <w:t xml:space="preserve">420</w:t>
            </w:r>
          </w:p>
        </w:tc>
      </w:tr>
      <w:tr>
        <w:trPr/>
        <w:tc>
          <w:tcPr/>
          <w:p>
            <w:pPr>
              <w:spacing w:after="0" w:line="240" w:lineRule="auto"/>
            </w:pPr>
            <w:r>
              <w:t xml:space="preserve">Testing &amp; Deployment</w:t>
            </w:r>
          </w:p>
        </w:tc>
        <w:tc>
          <w:p>
            <w:pPr>
              <w:spacing w:after="0" w:line="240" w:lineRule="auto"/>
            </w:pPr>
            <w:r>
              <w:t xml:space="preserve">10</w:t>
            </w:r>
          </w:p>
        </w:tc>
        <w:tc>
          <w:p>
            <w:pPr>
              <w:spacing w:after="0" w:line="240" w:lineRule="auto"/>
            </w:pPr>
            <w:r>
              <w:t xml:space="preserve">20</w:t>
            </w:r>
          </w:p>
        </w:tc>
        <w:tc>
          <w:p>
            <w:pPr>
              <w:spacing w:after="0" w:line="240" w:lineRule="auto"/>
            </w:pPr>
            <w:r>
              <w:t xml:space="preserve">40</w:t>
            </w:r>
          </w:p>
        </w:tc>
        <w:tc>
          <w:p>
            <w:pPr>
              <w:spacing w:after="0" w:line="240" w:lineRule="auto"/>
            </w:pPr>
            <w:r>
              <w:t xml:space="preserve">50</w:t>
            </w:r>
          </w:p>
        </w:tc>
        <w:tc>
          <w:p>
            <w:pPr>
              <w:spacing w:after="0" w:line="240" w:lineRule="auto"/>
            </w:pPr>
            <w:r>
              <w:t xml:space="preserve">120</w:t>
            </w:r>
          </w:p>
        </w:tc>
      </w:tr>
      <w:tr>
        <w:trPr/>
        <w:tc>
          <w:tcPr/>
          <w:p>
            <w:pPr>
              <w:spacing w:after="0" w:line="240" w:lineRule="auto"/>
            </w:pPr>
            <w:r>
              <w:t xml:space="preserve">Training &amp; Operations</w:t>
            </w:r>
          </w:p>
        </w:tc>
        <w:tc>
          <w:p>
            <w:pPr>
              <w:spacing w:after="0" w:line="240" w:lineRule="auto"/>
            </w:pPr>
            <w:r>
              <w:t xml:space="preserve">10</w:t>
            </w:r>
          </w:p>
        </w:tc>
        <w:tc>
          <w:p>
            <w:pPr>
              <w:spacing w:after="0" w:line="240" w:lineRule="auto"/>
            </w:pPr>
            <w:r>
              <w:t xml:space="preserve">10</w:t>
            </w:r>
          </w:p>
        </w:tc>
        <w:tc>
          <w:p>
            <w:pPr>
              <w:spacing w:after="0" w:line="240" w:lineRule="auto"/>
            </w:pPr>
            <w:r>
              <w:t xml:space="preserve">20</w:t>
            </w:r>
          </w:p>
        </w:tc>
        <w:tc>
          <w:p>
            <w:pPr>
              <w:spacing w:after="0" w:line="240" w:lineRule="auto"/>
            </w:pPr>
            <w:r>
              <w:t xml:space="preserve">30</w:t>
            </w:r>
          </w:p>
        </w:tc>
        <w:tc>
          <w:p>
            <w:pPr>
              <w:spacing w:after="0" w:line="240" w:lineRule="auto"/>
            </w:pPr>
            <w:r>
              <w:t xml:space="preserve">70</w:t>
            </w:r>
          </w:p>
        </w:tc>
      </w:tr>
      <w:tr>
        <w:trPr/>
        <w:tc>
          <w:tcPr>
            <w:shd w:val="clear" w:fill="D6E4F0"/>
          </w:tcPr>
          <w:p>
            <w:pPr>
              <w:spacing w:after="0" w:line="240" w:lineRule="auto"/>
            </w:pPr>
            <w:r>
              <w:rPr>
                <w:b/>
              </w:rPr>
              <w:t xml:space="preserve">Total</w:t>
            </w:r>
          </w:p>
        </w:tc>
        <w:tc>
          <w:tcPr>
            <w:shd w:val="clear" w:fill="D6E4F0"/>
          </w:tcPr>
          <w:p>
            <w:pPr>
              <w:spacing w:after="0" w:line="240" w:lineRule="auto"/>
              <w:jc w:val="center"/>
            </w:pPr>
            <w:r>
              <w:rPr>
                <w:b/>
              </w:rPr>
              <w:t xml:space="preserve">360</w:t>
            </w:r>
          </w:p>
        </w:tc>
        <w:tc>
          <w:tcPr>
            <w:shd w:val="clear" w:fill="D6E4F0"/>
          </w:tcPr>
          <w:p>
            <w:pPr>
              <w:spacing w:after="0" w:line="240" w:lineRule="auto"/>
              <w:jc w:val="center"/>
            </w:pPr>
            <w:r>
              <w:rPr>
                <w:b/>
              </w:rPr>
              <w:t xml:space="preserve">380</w:t>
            </w:r>
          </w:p>
        </w:tc>
        <w:tc>
          <w:tcPr>
            <w:shd w:val="clear" w:fill="D6E4F0"/>
          </w:tcPr>
          <w:p>
            <w:pPr>
              <w:spacing w:after="0" w:line="240" w:lineRule="auto"/>
              <w:jc w:val="center"/>
            </w:pPr>
            <w:r>
              <w:rPr>
                <w:b/>
              </w:rPr>
              <w:t xml:space="preserve">390</w:t>
            </w:r>
          </w:p>
        </w:tc>
        <w:tc>
          <w:tcPr>
            <w:shd w:val="clear" w:fill="D6E4F0"/>
          </w:tcPr>
          <w:p>
            <w:pPr>
              <w:spacing w:after="0" w:line="240" w:lineRule="auto"/>
              <w:jc w:val="center"/>
            </w:pPr>
            <w:r>
              <w:rPr>
                <w:b/>
              </w:rPr>
              <w:t xml:space="preserve">280</w:t>
            </w:r>
          </w:p>
        </w:tc>
        <w:tc>
          <w:tcPr>
            <w:shd w:val="clear" w:fill="D6E4F0"/>
          </w:tcPr>
          <w:p>
            <w:pPr>
              <w:spacing w:after="0" w:line="240" w:lineRule="auto"/>
              <w:jc w:val="center"/>
            </w:pPr>
            <w:r>
              <w:rPr>
                <w:b/>
              </w:rPr>
              <w:t xml:space="preserve">1,410</w:t>
            </w:r>
          </w:p>
        </w:tc>
      </w:tr>
    </w:tbl>
    <w:p>
      <w:pPr>
        <w:pStyle w:val="Heading1"/>
        <w:spacing w:before="360" w:after="120"/>
        <w:rPr>
          <w:sz w:val="36"/>
        </w:rPr>
      </w:pPr>
      <w:r>
        <w:rPr>
          <w:rFonts w:ascii="Microsoft YaHei" w:hAnsi="Microsoft YaHei" w:eastAsia="Microsoft YaHei"/>
          <w:color w:val="2857A4"/>
          <w:sz w:val="36"/>
        </w:rPr>
        <w:t xml:space="preserve">6. Risk Assessment</w:t>
      </w:r>
    </w:p>
    <w:tbl>
      <w:tblPr>
        <w:tblW w:w="5000" w:type="pct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</w:tblPr>
      <w:tblGrid>
        <w:gridCol w:w="2400"/>
        <w:gridCol w:w="2400"/>
        <w:gridCol w:w="2400"/>
        <w:gridCol w:w="2400"/>
      </w:tblGrid>
      <w:tr>
        <w:trPr/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Risk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Impact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Probability</w:t>
            </w:r>
          </w:p>
        </w:tc>
        <w:tc>
          <w:tcPr>
            <w:shd w:val="clear" w:fill="2857A4"/>
          </w:tcPr>
          <w:p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 xml:space="preserve">Mitigation</w:t>
            </w:r>
          </w:p>
        </w:tc>
      </w:tr>
      <w:tr>
        <w:trPr/>
        <w:tc>
          <w:tcPr/>
          <w:p>
            <w:pPr>
              <w:spacing w:after="0" w:line="240" w:lineRule="auto"/>
            </w:pPr>
            <w:r>
              <w:t xml:space="preserve">Data Security Breach</w:t>
            </w:r>
          </w:p>
        </w:tc>
        <w:tc>
          <w:tcPr/>
          <w:p>
            <w:pPr>
              <w:spacing w:after="0" w:line="240" w:lineRule="auto"/>
            </w:pPr>
            <w:r>
              <w:t xml:space="preserve">High</w:t>
            </w:r>
          </w:p>
        </w:tc>
        <w:tc>
          <w:tcPr/>
          <w:p>
            <w:pPr>
              <w:spacing w:after="0" w:line="240" w:lineRule="auto"/>
            </w:pPr>
            <w:r>
              <w:t xml:space="preserve">Medium</w:t>
            </w:r>
          </w:p>
        </w:tc>
        <w:tc>
          <w:tcPr/>
          <w:p>
            <w:pPr>
              <w:spacing w:after="0" w:line="240" w:lineRule="auto"/>
            </w:pPr>
            <w:r>
              <w:t xml:space="preserve">Deploy zero-trust architecture and data encryption</w:t>
            </w:r>
          </w:p>
        </w:tc>
      </w:tr>
      <w:tr>
        <w:trPr/>
        <w:tc>
          <w:tcPr>
            <w:shd w:val="clear" w:fill="FFC7CE"/>
          </w:tcPr>
          <w:p>
            <w:pPr>
              <w:spacing w:after="0" w:line="240" w:lineRule="auto"/>
            </w:pPr>
            <w:r>
              <w:t xml:space="preserve">Key Personnel Departure</w:t>
            </w:r>
          </w:p>
        </w:tc>
        <w:tc>
          <w:tcPr>
            <w:shd w:val="clear" w:fill="FFC7CE"/>
          </w:tcPr>
          <w:p>
            <w:pPr>
              <w:spacing w:after="0" w:line="240" w:lineRule="auto"/>
            </w:pPr>
            <w:r>
              <w:t xml:space="preserve">High</w:t>
            </w:r>
          </w:p>
        </w:tc>
        <w:tc>
          <w:tcPr>
            <w:shd w:val="clear" w:fill="FFC7CE"/>
          </w:tcPr>
          <w:p>
            <w:pPr>
              <w:spacing w:after="0" w:line="240" w:lineRule="auto"/>
            </w:pPr>
            <w:r>
              <w:t xml:space="preserve">High</w:t>
            </w:r>
          </w:p>
        </w:tc>
        <w:tc>
          <w:tcPr>
            <w:shd w:val="clear" w:fill="FFC7CE"/>
          </w:tcPr>
          <w:p>
            <w:pPr>
              <w:spacing w:after="0" w:line="240" w:lineRule="auto"/>
            </w:pPr>
            <w:r>
              <w:t xml:space="preserve">Establish knowledge base and backup role system</w:t>
            </w:r>
          </w:p>
        </w:tc>
      </w:tr>
      <w:tr>
        <w:trPr/>
        <w:tc>
          <w:tcPr/>
          <w:p>
            <w:pPr>
              <w:spacing w:after="0" w:line="240" w:lineRule="auto"/>
            </w:pPr>
            <w:r>
              <w:t xml:space="preserve">Hardware Supply Chain Delays</w:t>
            </w:r>
          </w:p>
        </w:tc>
        <w:tc>
          <w:tcPr/>
          <w:p>
            <w:pPr>
              <w:spacing w:after="0" w:line="240" w:lineRule="auto"/>
            </w:pPr>
            <w:r>
              <w:t xml:space="preserve">Medium</w:t>
            </w:r>
          </w:p>
        </w:tc>
        <w:tc>
          <w:tcPr/>
          <w:p>
            <w:pPr>
              <w:spacing w:after="0" w:line="240" w:lineRule="auto"/>
            </w:pPr>
            <w:r>
              <w:t xml:space="preserve">Medium</w:t>
            </w:r>
          </w:p>
        </w:tc>
        <w:tc>
          <w:tcPr/>
          <w:p>
            <w:pPr>
              <w:spacing w:after="0" w:line="240" w:lineRule="auto"/>
            </w:pPr>
            <w:r>
              <w:t xml:space="preserve">Multi-vendor strategy and safety stock</w:t>
            </w:r>
          </w:p>
        </w:tc>
      </w:tr>
      <w:tr>
        <w:trPr/>
        <w:tc>
          <w:tcPr/>
          <w:p>
            <w:pPr>
              <w:spacing w:after="0" w:line="240" w:lineRule="auto"/>
            </w:pPr>
            <w:r>
              <w:t xml:space="preserve">Technical Architecture Compatibility</w:t>
            </w:r>
          </w:p>
        </w:tc>
        <w:tc>
          <w:tcPr/>
          <w:p>
            <w:pPr>
              <w:spacing w:after="0" w:line="240" w:lineRule="auto"/>
            </w:pPr>
            <w:r>
              <w:t xml:space="preserve">High</w:t>
            </w:r>
          </w:p>
        </w:tc>
        <w:tc>
          <w:tcPr/>
          <w:p>
            <w:pPr>
              <w:spacing w:after="0" w:line="240" w:lineRule="auto"/>
            </w:pPr>
            <w:r>
              <w:t xml:space="preserve">Low</w:t>
            </w:r>
          </w:p>
        </w:tc>
        <w:tc>
          <w:tcPr/>
          <w:p>
            <w:pPr>
              <w:spacing w:after="0" w:line="240" w:lineRule="auto"/>
            </w:pPr>
            <w:r>
              <w:t xml:space="preserve">POC validation and architecture review</w:t>
            </w:r>
          </w:p>
        </w:tc>
      </w:tr>
      <w:tr>
        <w:trPr/>
        <w:tc>
          <w:tcPr>
            <w:shd w:val="clear" w:fill="FFC7CE"/>
          </w:tcPr>
          <w:p>
            <w:pPr>
              <w:spacing w:after="0" w:line="240" w:lineRule="auto"/>
            </w:pPr>
            <w:r>
              <w:t xml:space="preserve">Budget Overrun</w:t>
            </w:r>
          </w:p>
        </w:tc>
        <w:tc>
          <w:tcPr>
            <w:shd w:val="clear" w:fill="FFC7CE"/>
          </w:tcPr>
          <w:p>
            <w:pPr>
              <w:spacing w:after="0" w:line="240" w:lineRule="auto"/>
            </w:pPr>
            <w:r>
              <w:t xml:space="preserve">High</w:t>
            </w:r>
          </w:p>
        </w:tc>
        <w:tc>
          <w:tcPr>
            <w:shd w:val="clear" w:fill="FFC7CE"/>
          </w:tcPr>
          <w:p>
            <w:pPr>
              <w:spacing w:after="0" w:line="240" w:lineRule="auto"/>
            </w:pPr>
            <w:r>
              <w:t xml:space="preserve">High</w:t>
            </w:r>
          </w:p>
        </w:tc>
        <w:tc>
          <w:tcPr>
            <w:shd w:val="clear" w:fill="FFC7CE"/>
          </w:tcPr>
          <w:p>
            <w:pPr>
              <w:spacing w:after="0" w:line="240" w:lineRule="auto"/>
            </w:pPr>
            <w:r>
              <w:t xml:space="preserve">Periodic audits and change control</w:t>
            </w:r>
          </w:p>
        </w:tc>
      </w:tr>
    </w:tbl>
    <w:sectPr>
      <w:headerReference xmlns:r="http://schemas.openxmlformats.org/officeDocument/2006/relationships" w:type="default" r:id="Rc02d95d3cee4430e"/>
    </w:sectPr>
  </w:body>
</w:document>
</file>

<file path=word/comments.xml><?xml version="1.0" encoding="utf-8"?>
<w:comments xmlns:w="http://schemas.openxmlformats.org/wordprocessingml/2006/main">
  <w:comment w:initials="项" w:author="项目经理" w:date="2026-03-26T02:34:47.296928Z" w:id="1">
    <w:p>
      <w:r>
        <w:t xml:space="preserve">需客户确认</w:t>
      </w:r>
    </w:p>
  </w:comment>
</w:comments>
</file>

<file path=word/header1.xml><?xml version="1.0" encoding="utf-8"?>
<w:hdr xmlns:w="http://schemas.openxmlformats.org/wordprocessingml/2006/main">
  <w:p xmlns:w="http://schemas.openxmlformats.org/wordprocessingml/2006/main">
    <w:pPr>
      <w:tabs>
        <w:tab w:val="right" w:pos="9360"/>
      </w:tabs>
      <w:jc w:val="left"/>
    </w:pPr>
    <w:r>
      <w:rPr>
        <w:rFonts w:ascii="Microsoft YaHei" w:hAnsi="Microsoft YaHei" w:eastAsia="Microsoft YaHei"/>
        <w:color w:val="888888"/>
        <w:sz w:val="18"/>
      </w:rPr>
      <w:t xml:space="preserve">Confidential — DeepCity Technologies</w:t>
    </w:r>
    <w:r>
      <w:rPr>
        <w:rFonts w:ascii="Microsoft YaHei" w:hAnsi="Microsoft YaHei" w:eastAsia="Microsoft YaHei"/>
        <w:sz w:val="18"/>
      </w:rPr>
      <w:t xml:space="preserve">	</w:t>
    </w:r>
    <w:r>
      <w:rPr>
        <w:rFonts w:ascii="Microsoft YaHei" w:hAnsi="Microsoft YaHei" w:eastAsia="Microsoft YaHei"/>
        <w:color w:val="888888"/>
        <w:sz w:val="18"/>
      </w:rPr>
      <w:fldChar w:fldCharType="begin"/>
    </w:r>
    <w:r>
      <w:rPr>
        <w:rFonts w:ascii="Microsoft YaHei" w:hAnsi="Microsoft YaHei" w:eastAsia="Microsoft YaHei"/>
        <w:color w:val="888888"/>
        <w:sz w:val="18"/>
      </w:rPr>
      <w:instrText xml:space="preserve"> PAGE </w:instrText>
    </w:r>
    <w:r>
      <w:rPr>
        <w:rFonts w:ascii="Microsoft YaHei" w:hAnsi="Microsoft YaHei" w:eastAsia="Microsoft YaHei"/>
        <w:color w:val="888888"/>
        <w:sz w:val="18"/>
      </w:rPr>
      <w:fldChar w:fldCharType="separate"/>
    </w:r>
    <w:r>
      <w:rPr>
        <w:rFonts w:ascii="Microsoft YaHei" w:hAnsi="Microsoft YaHei" w:eastAsia="Microsoft YaHei"/>
        <w:color w:val="888888"/>
        <w:sz w:val="18"/>
      </w:rPr>
      <w:t xml:space="preserve">1</w:t>
    </w:r>
    <w:r>
      <w:rPr>
        <w:rFonts w:ascii="Microsoft YaHei" w:hAnsi="Microsoft YaHei" w:eastAsia="Microsoft YaHei"/>
        <w:color w:val="888888"/>
        <w:sz w:val="18"/>
      </w:rPr>
      <w:fldChar w:fldCharType="end"/>
    </w:r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cb69c56e3d5540a7" /><Relationship Type="http://schemas.openxmlformats.org/officeDocument/2006/relationships/chart" Target="/word/charts/chart1.xml" Id="R310a783dc0c64a17" /><Relationship Type="http://schemas.openxmlformats.org/officeDocument/2006/relationships/header" Target="/word/header1.xml" Id="Rc02d95d3cee4430e" /><Relationship Type="http://schemas.openxmlformats.org/officeDocument/2006/relationships/comments" Target="/word/comments.xml" Id="R5b40937cfb6d4643" /></Relationships>
</file>

<file path=word/charts/chart1.xml><?xml version="1.0" encoding="utf-8"?>
<c:chartSpace xmlns:c="http://schemas.openxmlformats.org/drawingml/2006/chart">
  <c:chart>
    <c:title>
      <c:tx>
        <c:rich>
          <a:bodyPr xmlns:a="http://schemas.openxmlformats.org/drawingml/2006/main"/>
          <a:lstStyle xmlns:a="http://schemas.openxmlformats.org/drawingml/2006/main"/>
          <a:p xmlns:a="http://schemas.openxmlformats.org/drawingml/2006/main">
            <a:pPr>
              <a:defRPr sz="1400" b="1"/>
            </a:pPr>
            <a:r>
              <a:rPr lang="en-US" sz="1400" b="1"/>
              <a:t>项目里程碑时间线</a:t>
            </a:r>
          </a:p>
        </c:rich>
      </c:tx>
      <c:overlay val="0"/>
    </c:title>
    <c:plotArea>
      <c:layout/>
      <c:barChart>
        <c:barDir val="bar"/>
        <c:grouping val="clustered"/>
        <c:varyColors val="0"/>
        <c:ser>
          <c:idx val="0"/>
          <c:order val="0"/>
          <c:tx>
            <c:v>计划周数</c:v>
          </c:tx>
          <c:spPr>
            <a:solidFill xmlns:a="http://schemas.openxmlformats.org/drawingml/2006/main">
              <a:srgbClr val="2857A4"/>
            </a:solidFill>
          </c:spPr>
          <c:cat>
            <c:strLit>
              <c:ptCount val="5"/>
              <c:pt idx="0">
                <c:v>M1 需求分析</c:v>
              </c:pt>
              <c:pt idx="1">
                <c:v>M2 架构设计</c:v>
              </c:pt>
              <c:pt idx="2">
                <c:v>M3 开发实施</c:v>
              </c:pt>
              <c:pt idx="3">
                <c:v>M4 测试部署</c:v>
              </c:pt>
              <c:pt idx="4">
                <c:v>M5 验收上线</c:v>
              </c:pt>
            </c:strLit>
          </c:cat>
          <c:val>
            <c:numLit>
              <c:formatCode>General</c:formatCode>
              <c:ptCount val="5"/>
              <c:pt idx="0">
                <c:v>4</c:v>
              </c:pt>
              <c:pt idx="1">
                <c:v>6</c:v>
              </c:pt>
              <c:pt idx="2">
                <c:v>16</c:v>
              </c:pt>
              <c:pt idx="3">
                <c:v>8</c:v>
              </c:pt>
              <c:pt idx="4">
                <c:v>4</c:v>
              </c:pt>
            </c:numLit>
          </c:val>
        </c:ser>
        <c:ser>
          <c:idx val="1"/>
          <c:order val="1"/>
          <c:tx>
            <c:v>已完成周数</c:v>
          </c:tx>
          <c:spPr>
            <a:solidFill xmlns:a="http://schemas.openxmlformats.org/drawingml/2006/main">
              <a:srgbClr val="7FB3E0"/>
            </a:solidFill>
          </c:spPr>
          <c:cat>
            <c:strLit>
              <c:ptCount val="5"/>
              <c:pt idx="0">
                <c:v>M1 需求分析</c:v>
              </c:pt>
              <c:pt idx="1">
                <c:v>M2 架构设计</c:v>
              </c:pt>
              <c:pt idx="2">
                <c:v>M3 开发实施</c:v>
              </c:pt>
              <c:pt idx="3">
                <c:v>M4 测试部署</c:v>
              </c:pt>
              <c:pt idx="4">
                <c:v>M5 验收上线</c:v>
              </c:pt>
            </c:strLit>
          </c:cat>
          <c:val>
            <c:numLit>
              <c:formatCode>General</c:formatCode>
              <c:ptCount val="5"/>
              <c:pt idx="0">
                <c:v>4</c:v>
              </c:pt>
              <c:pt idx="1">
                <c:v>6</c:v>
              </c:pt>
              <c:pt idx="2">
                <c:v>10</c:v>
              </c:pt>
              <c:pt idx="3">
                <c:v>0</c:v>
              </c:pt>
              <c:pt idx="4">
                <c:v>0</c:v>
              </c:pt>
            </c:numLit>
          </c:val>
        </c:ser>
        <c:gapWidth val="150"/>
        <c:axId val="1"/>
        <c:axId val="2"/>
      </c:barChart>
      <c:catAx>
        <c:axId val="1"/>
        <c:scaling>
          <c:orientation val="minMax"/>
        </c:scaling>
        <c:delete val="0"/>
        <c:axPos val="b"/>
        <c:majorTickMark val="out"/>
        <c:minorTickMark val="none"/>
        <c:tickLblPos val="nextTo"/>
        <c:crossAx val="2"/>
        <c:crosses val="autoZero"/>
        <c:auto val="1"/>
        <c:lblAlgn val="ctr"/>
        <c:lblOffset val="100"/>
      </c:catAx>
      <c:valAx>
        <c:axId val="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"/>
        <c:crosses val="autoZero"/>
        <c:crossBetween val="between"/>
      </c:valAx>
    </c:plotArea>
    <c:legend>
      <c:legendPos val="b"/>
      <c:overlay val="0"/>
    </c:legend>
    <c:plotVisOnly val="1"/>
    <c:dispBlanksAs val="gap"/>
  </c:chart>
</c:chartSpace>
</file>