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9AF73A">
      <w:pPr>
        <w:shd w:val="clear" w:fill="4A1080"/>
        <w:spacing w:before="800" w:after="200"/>
      </w:pPr>
    </w:p>
    <w:p w14:paraId="6E666D49">
      <w:pPr>
        <w:shd w:val="clear" w:fill="4A1080"/>
        <w:spacing w:before="400" w:after="160"/>
        <w:jc w:val="center"/>
        <w:rPr>
          <w:color w:val="FFFFFF"/>
        </w:rPr>
      </w:pPr>
      <w:r>
        <w:rPr>
          <w:rFonts w:ascii="Calibri Light" w:hAnsi="Calibri Light" w:eastAsia="Calibri Light"/>
          <w:b/>
          <w:color w:val="FFFFFF"/>
          <w:sz w:val="56"/>
        </w:rPr>
        <w:t>CreativeHub Inc.</w:t>
      </w:r>
    </w:p>
    <w:p w14:paraId="0315768F">
      <w:pPr>
        <w:shd w:val="clear" w:fill="4A1080"/>
        <w:spacing w:after="240"/>
        <w:jc w:val="center"/>
        <w:rPr>
          <w:color w:val="E8D5F5"/>
        </w:rPr>
      </w:pPr>
      <w:r>
        <w:rPr>
          <w:rFonts w:ascii="Calibri Light" w:hAnsi="Calibri Light" w:eastAsia="Calibri Light"/>
          <w:color w:val="E8D5F5"/>
          <w:sz w:val="40"/>
        </w:rPr>
        <w:t>Employee Handbook</w:t>
      </w:r>
    </w:p>
    <w:p w14:paraId="51CEC70C">
      <w:pPr>
        <w:shd w:val="clear" w:fill="4A1080"/>
        <w:spacing w:after="160"/>
        <w:jc w:val="center"/>
        <w:rPr>
          <w:color w:val="D4AF37"/>
        </w:rPr>
      </w:pPr>
      <w:r>
        <w:rPr>
          <w:rFonts w:ascii="Calibri" w:hAnsi="Calibri" w:eastAsia="Calibri"/>
          <w:color w:val="D4AF37"/>
          <w:sz w:val="28"/>
        </w:rPr>
        <w:t>2026 Edition</w:t>
      </w:r>
    </w:p>
    <w:p w14:paraId="70CD9FB9">
      <w:pPr>
        <w:shd w:val="clear" w:fill="4A1080"/>
        <w:spacing w:after="240"/>
        <w:jc w:val="center"/>
        <w:rPr>
          <w:color w:val="FFFFFF"/>
        </w:rPr>
      </w:pPr>
      <w:r>
        <w:rPr>
          <w:rFonts w:ascii="Calibri" w:hAnsi="Calibri" w:eastAsia="Calibri"/>
          <w:i/>
          <w:color w:val="FFFFFF"/>
          <w:sz w:val="28"/>
        </w:rPr>
        <w:t>Welcome aboard!</w:t>
      </w:r>
    </w:p>
    <w:p w14:paraId="257EC7C7">
      <w:pPr>
        <w:shd w:val="clear" w:fill="4A1080"/>
        <w:spacing w:before="320" w:after="320"/>
        <w:jc w:val="center"/>
      </w:pPr>
      <w:r>
        <w:rPr>
          <w:rFonts w:ascii="Calibri Light" w:hAnsi="Calibri Light" w:eastAsia="Calibri Light"/>
          <w:color w:val="FFFFFF"/>
          <w:sz w:val="32"/>
          <w:shd w:val="clear" w:fill="4A1080"/>
        </w:rPr>
        <w:t>Your guide to life at CreativeHub</w:t>
      </w:r>
    </w:p>
    <w:p w14:paraId="1E775765">
      <w:pPr>
        <w:shd w:val="clear" w:fill="4A1080"/>
        <w:spacing w:before="80" w:after="160"/>
        <w:jc w:val="center"/>
        <w:rPr>
          <w:color w:val="E8D5F5"/>
        </w:rPr>
      </w:pPr>
      <w:r>
        <w:rPr>
          <w:rFonts w:ascii="Calibri" w:hAnsi="Calibri" w:eastAsia="Calibri"/>
          <w:i/>
          <w:color w:val="E8D5F5"/>
          <w:sz w:val="24"/>
        </w:rPr>
        <w:t>Where creativity meets technology</w:t>
      </w:r>
    </w:p>
    <w:p w14:paraId="47F7C99F">
      <w:pPr>
        <w:shd w:val="clear" w:fill="4A1080"/>
        <w:spacing w:before="80" w:after="160"/>
        <w:jc w:val="center"/>
        <w:rPr>
          <w:color w:val="C0A0D0"/>
        </w:rPr>
      </w:pPr>
      <w:r>
        <w:rPr>
          <w:rFonts w:ascii="Calibri" w:hAnsi="Calibri" w:eastAsia="Calibri"/>
          <w:color w:val="C0A0D0"/>
          <w:sz w:val="18"/>
        </w:rPr>
        <w:t>Version 2.0 | Effective January 2026 | Human Resources Department</w:t>
      </w:r>
    </w:p>
    <w:p w14:paraId="01CBA92E">
      <w:pPr>
        <w:shd w:val="clear" w:fill="4A1080"/>
        <w:spacing w:before="240" w:after="240"/>
        <w:jc w:val="center"/>
        <w:rPr>
          <w:color w:val="D4AF37"/>
        </w:rPr>
      </w:pPr>
      <w:r>
        <w:rPr>
          <w:color w:val="D4AF37"/>
          <w:sz w:val="16"/>
        </w:rPr>
        <w:t>━━━━━━━━━━━━━━━━━━━━━━━━━━━━━━━━━━━━━━━━</w:t>
      </w:r>
    </w:p>
    <w:p w14:paraId="0F760112">
      <w:pPr>
        <w:shd w:val="clear" w:fill="4A1080"/>
        <w:spacing w:before="400" w:after="160"/>
        <w:jc w:val="center"/>
      </w:pPr>
      <w:r>
        <w:rPr>
          <w:rFonts w:ascii="Calibri Light" w:hAnsi="Calibri Light" w:eastAsia="Calibri Light"/>
          <w:b/>
          <w:color w:val="D4AF37"/>
          <w:sz w:val="32"/>
          <w:shd w:val="clear" w:fill="4A1080"/>
        </w:rPr>
        <w:t>Our Values</w:t>
      </w:r>
    </w:p>
    <w:p w14:paraId="5751C11C">
      <w:pPr>
        <w:shd w:val="clear" w:fill="4A1080"/>
        <w:spacing w:before="80" w:after="240"/>
        <w:jc w:val="center"/>
      </w:pPr>
      <w:r>
        <w:rPr>
          <w:rFonts w:ascii="Calibri" w:hAnsi="Calibri" w:eastAsia="Calibri"/>
          <w:color w:val="FFFFFF"/>
          <w:sz w:val="24"/>
          <w:shd w:val="clear" w:fill="4A1080"/>
        </w:rPr>
        <w:t>Innovation  ·  Collaboration  ·  Integrity  ·  Growth</w:t>
      </w:r>
    </w:p>
    <w:p w14:paraId="7A2BBDBA">
      <w:pPr>
        <w:shd w:val="clear" w:fill="4A1080"/>
        <w:spacing w:before="240" w:after="240"/>
        <w:jc w:val="center"/>
      </w:pPr>
      <w:r>
        <w:rPr>
          <w:color w:val="D4AF37"/>
          <w:sz w:val="16"/>
          <w:shd w:val="clear" w:fill="4A1080"/>
        </w:rPr>
        <w:t>━━━━━━━━━━━━━━━━━━━━</w:t>
      </w:r>
    </w:p>
    <w:p w14:paraId="6B7BC082">
      <w:pPr>
        <w:shd w:val="clear" w:fill="4A1080"/>
        <w:spacing w:before="160" w:after="160"/>
        <w:jc w:val="center"/>
      </w:pPr>
      <w:r>
        <w:rPr>
          <w:rFonts w:ascii="Calibri Light" w:hAnsi="Calibri Light" w:eastAsia="Calibri Light"/>
          <w:i/>
          <w:color w:val="E8D5F5"/>
          <w:sz w:val="22"/>
          <w:shd w:val="clear" w:fill="4A1080"/>
        </w:rPr>
        <w:t>Empowering People. Inspiring Excellence.</w:t>
      </w:r>
    </w:p>
    <w:p w14:paraId="6C8286A1">
      <w:pPr>
        <w:shd w:val="clear" w:fill="4A1080"/>
        <w:spacing w:before="240" w:after="240"/>
      </w:pPr>
      <w:r>
        <w:rPr>
          <w:sz w:val="24"/>
          <w:shd w:val="clear" w:fill="4A1080"/>
        </w:rPr>
        <w:t xml:space="preserve"> </w:t>
      </w:r>
    </w:p>
    <w:p w14:paraId="360743B1">
      <w:pPr>
        <w:spacing w:after="240"/>
      </w:pPr>
      <w:bookmarkStart w:id="0" w:name="_GoBack"/>
      <w:bookmarkEnd w:id="0"/>
      <w:r>
        <w:rPr>
          <w:rFonts w:ascii="Calibri Light" w:hAnsi="Calibri Light" w:eastAsia="Calibri Light"/>
          <w:color w:val="4A1080"/>
          <w:sz w:val="44"/>
        </w:rPr>
        <w:t>Chapter 1: Welcome</w:t>
      </w:r>
    </w:p>
    <w:p w14:paraId="0FC6A1EE">
      <w:pPr>
        <w:spacing w:after="160"/>
      </w:pPr>
      <w:r>
        <w:rPr>
          <w:rFonts w:ascii="Calibri" w:hAnsi="Calibri" w:eastAsia="Calibri"/>
          <w:sz w:val="24"/>
        </w:rPr>
        <w:t>Dear New Team Member,</w:t>
      </w:r>
    </w:p>
    <w:p w14:paraId="0BA3CC24">
      <w:pPr>
        <w:spacing w:after="160"/>
      </w:pPr>
      <w:r>
        <w:rPr>
          <w:rFonts w:ascii="Calibri" w:hAnsi="Calibri" w:eastAsia="Calibri"/>
          <w:sz w:val="22"/>
        </w:rPr>
        <w:t>On behalf of the entire leadership team at CreativeHub Inc., I am thrilled to welcome you to our family. We believe that every person who joins us brings unique talents and perspectives that make our company stronger. This handbook is your guide to understanding who we are, how we work, and what we stand for.</w:t>
      </w:r>
    </w:p>
    <w:p w14:paraId="07A22A39">
      <w:pPr>
        <w:spacing w:after="160"/>
      </w:pPr>
      <w:r>
        <w:rPr>
          <w:rFonts w:ascii="Calibri" w:hAnsi="Calibri" w:eastAsia="Calibri"/>
          <w:sz w:val="22"/>
        </w:rPr>
        <w:t>We are committed to fostering an environment where creativity thrives, innovation is celebrated, and every voice matters. Together, we will continue to push boundaries and deliver exceptional results for our clients and communities.</w:t>
      </w:r>
    </w:p>
    <w:p w14:paraId="3C46EBB6">
      <w:pPr>
        <w:spacing w:after="320"/>
      </w:pPr>
      <w:r>
        <w:rPr>
          <w:rFonts w:ascii="Calibri" w:hAnsi="Calibri" w:eastAsia="Calibri"/>
          <w:i/>
          <w:color w:val="4A1080"/>
          <w:sz w:val="22"/>
        </w:rPr>
        <w:t>— Sarah Chen, CEO</w:t>
      </w:r>
    </w:p>
    <w:p w14:paraId="364889E6">
      <w:pPr>
        <w:spacing w:after="160"/>
      </w:pPr>
      <w:r>
        <w:rPr>
          <w:rFonts w:ascii="Calibri Light" w:hAnsi="Calibri Light" w:eastAsia="Calibri Light"/>
          <w:color w:val="4A1080"/>
          <w:sz w:val="32"/>
        </w:rPr>
        <w:t>Our Mission</w:t>
      </w:r>
    </w:p>
    <w:p w14:paraId="6723FCD2">
      <w:pPr>
        <w:pBdr>
          <w:left w:val="single" w:color="4A1080" w:sz="6" w:space="4"/>
        </w:pBdr>
        <w:shd w:val="clear" w:fill="F3E8FF"/>
        <w:spacing w:before="160" w:after="160"/>
        <w:ind w:left="360"/>
      </w:pPr>
      <w:r>
        <w:rPr>
          <w:rFonts w:ascii="Calibri" w:hAnsi="Calibri" w:eastAsia="Calibri"/>
          <w:sz w:val="22"/>
          <w:shd w:val="clear" w:fill="F3E8FF"/>
        </w:rPr>
        <w:t>Mission: To empower businesses and individuals through innovative digital solutions that simplify complexity and amplify creativity. We strive to be the most trusted partner in digital transformation.</w:t>
      </w:r>
    </w:p>
    <w:p w14:paraId="6830452D">
      <w:pPr>
        <w:spacing w:after="160"/>
      </w:pPr>
      <w:r>
        <w:rPr>
          <w:rFonts w:ascii="Calibri Light" w:hAnsi="Calibri Light" w:eastAsia="Calibri Light"/>
          <w:color w:val="4A1080"/>
          <w:sz w:val="32"/>
        </w:rPr>
        <w:t>Our Core Values</w:t>
      </w:r>
    </w:p>
    <w:p w14:paraId="00F0B952">
      <w:pPr>
        <w:pBdr>
          <w:left w:val="single" w:color="4A1080" w:sz="6" w:space="4"/>
        </w:pBdr>
        <w:shd w:val="clear" w:fill="F3E8FF"/>
        <w:spacing w:before="160" w:after="320"/>
        <w:ind w:left="360"/>
      </w:pPr>
      <w:r>
        <w:rPr>
          <w:rFonts w:ascii="Calibri" w:hAnsi="Calibri" w:eastAsia="Calibri"/>
          <w:sz w:val="22"/>
          <w:shd w:val="clear" w:fill="F3E8FF"/>
        </w:rPr>
        <w:t>Innovation — We embrace change and encourage bold thinking.\nIntegrity — We act with honesty and transparency in everything we do.\nCollaboration — We believe the best work happens together.\nExcellence — We hold ourselves to the highest standards.\nInclusion — We celebrate diversity and create space for everyone.</w:t>
      </w:r>
    </w:p>
    <w:p w14:paraId="5FA6BED6">
      <w:pPr>
        <w:pageBreakBefore/>
      </w:pPr>
    </w:p>
    <w:p w14:paraId="3BE54F70">
      <w:pPr>
        <w:spacing w:after="160"/>
      </w:pPr>
      <w:r>
        <w:rPr>
          <w:rFonts w:ascii="Calibri Light" w:hAnsi="Calibri Light" w:eastAsia="Calibri Light"/>
          <w:color w:val="4A1080"/>
          <w:sz w:val="44"/>
        </w:rPr>
        <w:t>Chapter 2: Onboarding</w:t>
      </w:r>
    </w:p>
    <w:p w14:paraId="2515CE73">
      <w:pPr>
        <w:spacing w:after="160"/>
      </w:pPr>
      <w:r>
        <w:rPr>
          <w:rFonts w:ascii="Calibri Light" w:hAnsi="Calibri Light" w:eastAsia="Calibri Light"/>
          <w:color w:val="4A1080"/>
          <w:sz w:val="32"/>
        </w:rPr>
        <w:t>Your First Steps at CreativeHub</w:t>
      </w:r>
    </w:p>
    <w:p w14:paraId="66385995">
      <w:pPr>
        <w:spacing w:after="160"/>
      </w:pPr>
      <w:r>
        <w:rPr>
          <w:rFonts w:ascii="Calibri" w:hAnsi="Calibri" w:eastAsia="Calibri"/>
          <w:sz w:val="22"/>
        </w:rPr>
        <w:t>Welcome to your onboarding journey! Follow these steps to get settled in:</w:t>
      </w:r>
    </w:p>
    <w:p w14:paraId="1A536A1C">
      <w:pPr>
        <w:numPr>
          <w:ilvl w:val="0"/>
          <w:numId w:val="1"/>
        </w:numPr>
        <w:spacing w:after="80"/>
      </w:pPr>
      <w:r>
        <w:rPr>
          <w:rFonts w:ascii="Calibri" w:hAnsi="Calibri" w:eastAsia="Calibri"/>
          <w:sz w:val="22"/>
        </w:rPr>
        <w:t>Complete all pre-employment paperwork and submit required identification documents to HR within your first day.</w:t>
      </w:r>
    </w:p>
    <w:p w14:paraId="506C9426">
      <w:pPr>
        <w:numPr>
          <w:ilvl w:val="0"/>
          <w:numId w:val="1"/>
        </w:numPr>
        <w:spacing w:after="80"/>
      </w:pPr>
      <w:r>
        <w:rPr>
          <w:rFonts w:ascii="Calibri" w:hAnsi="Calibri" w:eastAsia="Calibri"/>
          <w:sz w:val="22"/>
        </w:rPr>
        <w:t>Attend the New Hire Orientation session (held every Monday at 9:00 AM) to learn about company history, culture, and organizational structure.</w:t>
      </w:r>
    </w:p>
    <w:p w14:paraId="0C15CD23">
      <w:pPr>
        <w:numPr>
          <w:ilvl w:val="0"/>
          <w:numId w:val="1"/>
        </w:numPr>
        <w:spacing w:after="80"/>
      </w:pPr>
      <w:r>
        <w:rPr>
          <w:rFonts w:ascii="Calibri" w:hAnsi="Calibri" w:eastAsia="Calibri"/>
          <w:sz w:val="22"/>
        </w:rPr>
        <w:t>Set up your workstation, email account, and access credentials with the IT department. Request any additional software or hardware you need.</w:t>
      </w:r>
    </w:p>
    <w:p w14:paraId="567924C4">
      <w:pPr>
        <w:numPr>
          <w:ilvl w:val="0"/>
          <w:numId w:val="1"/>
        </w:numPr>
        <w:spacing w:after="80"/>
      </w:pPr>
      <w:r>
        <w:rPr>
          <w:rFonts w:ascii="Calibri" w:hAnsi="Calibri" w:eastAsia="Calibri"/>
          <w:sz w:val="22"/>
        </w:rPr>
        <w:t>Meet your assigned buddy/mentor who will guide you through your first 90 days and introduce you to your team members.</w:t>
      </w:r>
    </w:p>
    <w:p w14:paraId="243B37CE">
      <w:pPr>
        <w:numPr>
          <w:ilvl w:val="0"/>
          <w:numId w:val="1"/>
        </w:numPr>
        <w:spacing w:after="80"/>
      </w:pPr>
      <w:r>
        <w:rPr>
          <w:rFonts w:ascii="Calibri" w:hAnsi="Calibri" w:eastAsia="Calibri"/>
          <w:sz w:val="22"/>
        </w:rPr>
        <w:t>Review and acknowledge all company policies, including the Code of Conduct, IT Security Policy, and Data Privacy Agreement.</w:t>
      </w:r>
    </w:p>
    <w:p w14:paraId="3369778E">
      <w:pPr>
        <w:numPr>
          <w:ilvl w:val="0"/>
          <w:numId w:val="1"/>
        </w:numPr>
        <w:spacing w:after="80"/>
      </w:pPr>
      <w:r>
        <w:rPr>
          <w:rFonts w:ascii="Calibri" w:hAnsi="Calibri" w:eastAsia="Calibri"/>
          <w:sz w:val="22"/>
        </w:rPr>
        <w:t>Complete mandatory training modules on compliance, workplace safety, and anti-harassment within your first two weeks.</w:t>
      </w:r>
    </w:p>
    <w:p w14:paraId="3722C8AA">
      <w:pPr>
        <w:numPr>
          <w:ilvl w:val="0"/>
          <w:numId w:val="1"/>
        </w:numPr>
        <w:spacing w:after="320"/>
      </w:pPr>
      <w:r>
        <w:rPr>
          <w:rFonts w:ascii="Calibri" w:hAnsi="Calibri" w:eastAsia="Calibri"/>
          <w:sz w:val="22"/>
        </w:rPr>
        <w:t>Schedule a 30-day check-in meeting with your manager to discuss initial goals, expectations, and any questions or concerns.</w:t>
      </w:r>
    </w:p>
    <w:p w14:paraId="5C69710E">
      <w:pPr>
        <w:pageBreakBefore/>
      </w:pPr>
    </w:p>
    <w:p w14:paraId="686F839C">
      <w:pPr>
        <w:spacing w:after="160"/>
      </w:pPr>
      <w:r>
        <w:rPr>
          <w:rFonts w:ascii="Calibri Light" w:hAnsi="Calibri Light" w:eastAsia="Calibri Light"/>
          <w:color w:val="4A1080"/>
          <w:sz w:val="44"/>
        </w:rPr>
        <w:t>Chapter 3: Work Policies</w:t>
      </w:r>
    </w:p>
    <w:p w14:paraId="468EF520">
      <w:pPr>
        <w:spacing w:after="160"/>
      </w:pPr>
      <w:r>
        <w:rPr>
          <w:rFonts w:ascii="Calibri Light" w:hAnsi="Calibri Light" w:eastAsia="Calibri Light"/>
          <w:color w:val="4A1080"/>
          <w:sz w:val="32"/>
        </w:rPr>
        <w:t>Working Hours</w:t>
      </w:r>
    </w:p>
    <w:p w14:paraId="6DBDDCCF">
      <w:pPr>
        <w:spacing w:after="80"/>
      </w:pPr>
      <w:r>
        <w:rPr>
          <w:rFonts w:ascii="Calibri" w:hAnsi="Calibri" w:eastAsia="Calibri"/>
          <w:sz w:val="22"/>
        </w:rPr>
        <w:t>Standard working hours are 9:00 AM to 6:00 PM, Monday through Friday, with a one-hour lunch break. CreativeHub offers flexible scheduling — employees may adjust their start time between 8:00 AM and 10:00 AM with manager approval.</w:t>
      </w:r>
    </w:p>
    <w:p w14:paraId="7E6F0AD6">
      <w:pPr>
        <w:spacing w:after="240"/>
      </w:pPr>
      <w:r>
        <w:rPr>
          <w:rFonts w:ascii="Calibri" w:hAnsi="Calibri" w:eastAsia="Calibri"/>
          <w:sz w:val="22"/>
          <w:highlight w:val="yellow"/>
        </w:rPr>
        <w:t>All employees must be available during core hours (10:00 AM – 4:00 PM) for meetings and collaboration.</w:t>
      </w:r>
    </w:p>
    <w:p w14:paraId="642F9C15">
      <w:pPr>
        <w:spacing w:after="160"/>
      </w:pPr>
      <w:r>
        <w:rPr>
          <w:rFonts w:ascii="Calibri Light" w:hAnsi="Calibri Light" w:eastAsia="Calibri Light"/>
          <w:color w:val="4A1080"/>
          <w:sz w:val="32"/>
        </w:rPr>
        <w:t>Dress Code</w:t>
      </w:r>
    </w:p>
    <w:p w14:paraId="6C473F94">
      <w:pPr>
        <w:spacing w:after="80"/>
      </w:pPr>
      <w:r>
        <w:rPr>
          <w:rFonts w:ascii="Calibri" w:hAnsi="Calibri" w:eastAsia="Calibri"/>
          <w:sz w:val="22"/>
        </w:rPr>
        <w:t>CreativeHub embraces a smart casual dress code. We encourage you to express your personal style while maintaining a professional appearance. For client-facing meetings, business casual or business formal attire is expected.</w:t>
      </w:r>
    </w:p>
    <w:p w14:paraId="0943CD9E">
      <w:pPr>
        <w:spacing w:after="240"/>
      </w:pPr>
      <w:r>
        <w:rPr>
          <w:rFonts w:ascii="Calibri" w:hAnsi="Calibri" w:eastAsia="Calibri"/>
          <w:sz w:val="22"/>
          <w:highlight w:val="yellow"/>
        </w:rPr>
        <w:t>Safety footwear is mandatory in warehouse and lab areas at all times.</w:t>
      </w:r>
    </w:p>
    <w:p w14:paraId="065ACF74">
      <w:pPr>
        <w:spacing w:after="160"/>
      </w:pPr>
      <w:r>
        <w:rPr>
          <w:rFonts w:ascii="Calibri Light" w:hAnsi="Calibri Light" w:eastAsia="Calibri Light"/>
          <w:color w:val="4A1080"/>
          <w:sz w:val="32"/>
        </w:rPr>
        <w:t>Remote Work Policy</w:t>
      </w:r>
    </w:p>
    <w:p w14:paraId="40E724CE">
      <w:pPr>
        <w:spacing w:after="80"/>
      </w:pPr>
      <w:r>
        <w:rPr>
          <w:rFonts w:ascii="Calibri" w:hAnsi="Calibri" w:eastAsia="Calibri"/>
          <w:sz w:val="22"/>
        </w:rPr>
        <w:t>CreativeHub supports a hybrid work model. Employees may work remotely up to 3 days per week, subject to team needs and manager approval. Remote employees must maintain a reliable internet connection and be reachable during core hours.</w:t>
      </w:r>
    </w:p>
    <w:p w14:paraId="585B6CAA">
      <w:pPr>
        <w:spacing w:after="320"/>
      </w:pPr>
      <w:r>
        <w:rPr>
          <w:rFonts w:ascii="Calibri" w:hAnsi="Calibri" w:eastAsia="Calibri"/>
          <w:sz w:val="22"/>
          <w:highlight w:val="yellow"/>
        </w:rPr>
        <w:t>Remote work arrangements must be documented and approved via the HR portal before taking effect. Unauthorized remote work may result in disciplinary action.</w:t>
      </w:r>
    </w:p>
    <w:p w14:paraId="0DA08B18">
      <w:pPr>
        <w:pageBreakBefore/>
      </w:pPr>
    </w:p>
    <w:p w14:paraId="43D08123">
      <w:pPr>
        <w:spacing w:after="160"/>
      </w:pPr>
      <w:r>
        <w:rPr>
          <w:rFonts w:ascii="Calibri Light" w:hAnsi="Calibri Light" w:eastAsia="Calibri Light"/>
          <w:color w:val="4A1080"/>
          <w:sz w:val="44"/>
        </w:rPr>
        <w:t>Chapter 4: Benefits</w:t>
      </w:r>
    </w:p>
    <w:p w14:paraId="55C0AFA6">
      <w:pPr>
        <w:spacing w:after="240"/>
      </w:pPr>
      <w:r>
        <w:rPr>
          <w:rFonts w:ascii="Calibri" w:hAnsi="Calibri" w:eastAsia="Calibri"/>
          <w:sz w:val="22"/>
        </w:rPr>
        <w:t>CreativeHub offers a comprehensive benefits package designed to support your well-being and professional growth. Benefits vary by level:</w:t>
      </w:r>
    </w:p>
    <w:tbl>
      <w:tblPr>
        <w:tblStyle w:val="3"/>
        <w:tblW w:w="5000" w:type="pct"/>
        <w:jc w:val="center"/>
        <w:tblBorders>
          <w:top w:val="single" w:color="D1B3E0" w:sz="4" w:space="0"/>
          <w:left w:val="single" w:color="D1B3E0" w:sz="4" w:space="0"/>
          <w:bottom w:val="single" w:color="D1B3E0" w:sz="4" w:space="0"/>
          <w:right w:val="single" w:color="D1B3E0" w:sz="4" w:space="0"/>
          <w:insideH w:val="single" w:color="D1B3E0" w:sz="4" w:space="0"/>
          <w:insideV w:val="single" w:color="D1B3E0" w:sz="4" w:space="0"/>
        </w:tblBorders>
        <w:tblLayout w:type="autofit"/>
        <w:tblCellMar>
          <w:top w:w="0" w:type="dxa"/>
          <w:left w:w="10" w:type="dxa"/>
          <w:bottom w:w="0" w:type="dxa"/>
          <w:right w:w="10" w:type="dxa"/>
        </w:tblCellMar>
      </w:tblPr>
      <w:tblGrid>
        <w:gridCol w:w="1342"/>
        <w:gridCol w:w="2119"/>
        <w:gridCol w:w="3781"/>
        <w:gridCol w:w="2511"/>
        <w:gridCol w:w="3505"/>
      </w:tblGrid>
      <w:tr w14:paraId="4AFD7F67">
        <w:trPr>
          <w:jc w:val="center"/>
        </w:trPr>
        <w:tc>
          <w:tcPr>
            <w:shd w:val="clear" w:color="auto" w:fill="4A1080"/>
          </w:tcPr>
          <w:p w14:paraId="5E6FB8D7">
            <w:pPr>
              <w:spacing w:after="0" w:line="240" w:lineRule="auto"/>
              <w:jc w:val="center"/>
            </w:pPr>
            <w:r>
              <w:rPr>
                <w:rFonts w:ascii="Calibri" w:hAnsi="Calibri" w:eastAsia="Calibri"/>
                <w:b/>
                <w:color w:val="FFFFFF"/>
                <w:sz w:val="22"/>
              </w:rPr>
              <w:t>Level</w:t>
            </w:r>
          </w:p>
        </w:tc>
        <w:tc>
          <w:tcPr>
            <w:shd w:val="clear" w:color="auto" w:fill="4A1080"/>
          </w:tcPr>
          <w:p w14:paraId="56869314">
            <w:pPr>
              <w:spacing w:after="0" w:line="240" w:lineRule="auto"/>
              <w:jc w:val="center"/>
            </w:pPr>
            <w:r>
              <w:rPr>
                <w:rFonts w:ascii="Calibri" w:hAnsi="Calibri" w:eastAsia="Calibri"/>
                <w:b/>
                <w:color w:val="FFFFFF"/>
                <w:sz w:val="22"/>
              </w:rPr>
              <w:t>Annual Leave</w:t>
            </w:r>
          </w:p>
        </w:tc>
        <w:tc>
          <w:tcPr>
            <w:shd w:val="clear" w:color="auto" w:fill="4A1080"/>
          </w:tcPr>
          <w:p w14:paraId="4C99D6BE">
            <w:pPr>
              <w:spacing w:after="0" w:line="240" w:lineRule="auto"/>
              <w:jc w:val="center"/>
            </w:pPr>
            <w:r>
              <w:rPr>
                <w:rFonts w:ascii="Calibri" w:hAnsi="Calibri" w:eastAsia="Calibri"/>
                <w:b/>
                <w:color w:val="FFFFFF"/>
                <w:sz w:val="22"/>
              </w:rPr>
              <w:t>Insurance</w:t>
            </w:r>
          </w:p>
        </w:tc>
        <w:tc>
          <w:tcPr>
            <w:shd w:val="clear" w:color="auto" w:fill="4A1080"/>
          </w:tcPr>
          <w:p w14:paraId="64CF9EAB">
            <w:pPr>
              <w:spacing w:after="0" w:line="240" w:lineRule="auto"/>
              <w:jc w:val="center"/>
            </w:pPr>
            <w:r>
              <w:rPr>
                <w:rFonts w:ascii="Calibri" w:hAnsi="Calibri" w:eastAsia="Calibri"/>
                <w:b/>
                <w:color w:val="FFFFFF"/>
                <w:sz w:val="22"/>
              </w:rPr>
              <w:t>Training Budget</w:t>
            </w:r>
          </w:p>
        </w:tc>
        <w:tc>
          <w:tcPr>
            <w:shd w:val="clear" w:color="auto" w:fill="4A1080"/>
          </w:tcPr>
          <w:p w14:paraId="20D325B0">
            <w:pPr>
              <w:spacing w:after="0" w:line="240" w:lineRule="auto"/>
              <w:jc w:val="center"/>
            </w:pPr>
            <w:r>
              <w:rPr>
                <w:rFonts w:ascii="Calibri" w:hAnsi="Calibri" w:eastAsia="Calibri"/>
                <w:b/>
                <w:color w:val="FFFFFF"/>
                <w:sz w:val="22"/>
              </w:rPr>
              <w:t>Other Perks</w:t>
            </w:r>
          </w:p>
        </w:tc>
      </w:tr>
      <w:tr w14:paraId="3A098443">
        <w:trPr>
          <w:jc w:val="center"/>
        </w:trPr>
        <w:tc>
          <w:tcPr>
            <w:shd w:val="clear" w:color="auto" w:fill="F3E8FF"/>
          </w:tcPr>
          <w:p w14:paraId="17513FF9">
            <w:pPr>
              <w:spacing w:after="0" w:line="240" w:lineRule="auto"/>
            </w:pPr>
            <w:r>
              <w:rPr>
                <w:rFonts w:ascii="Calibri" w:hAnsi="Calibri" w:eastAsia="Calibri"/>
                <w:sz w:val="20"/>
              </w:rPr>
              <w:t>Junior</w:t>
            </w:r>
          </w:p>
        </w:tc>
        <w:tc>
          <w:tcPr>
            <w:shd w:val="clear" w:color="auto" w:fill="F3E8FF"/>
          </w:tcPr>
          <w:p w14:paraId="5B872A49">
            <w:pPr>
              <w:spacing w:after="0" w:line="240" w:lineRule="auto"/>
              <w:jc w:val="center"/>
            </w:pPr>
            <w:r>
              <w:rPr>
                <w:rFonts w:ascii="Calibri" w:hAnsi="Calibri" w:eastAsia="Calibri"/>
                <w:sz w:val="20"/>
              </w:rPr>
              <w:t>15 days</w:t>
            </w:r>
          </w:p>
        </w:tc>
        <w:tc>
          <w:tcPr>
            <w:shd w:val="clear" w:color="auto" w:fill="F3E8FF"/>
          </w:tcPr>
          <w:p w14:paraId="4FDE2FA5">
            <w:pPr>
              <w:spacing w:after="0" w:line="240" w:lineRule="auto"/>
            </w:pPr>
            <w:r>
              <w:rPr>
                <w:rFonts w:ascii="Calibri" w:hAnsi="Calibri" w:eastAsia="Calibri"/>
                <w:sz w:val="20"/>
              </w:rPr>
              <w:t>Basic Medical</w:t>
            </w:r>
          </w:p>
        </w:tc>
        <w:tc>
          <w:tcPr>
            <w:shd w:val="clear" w:color="auto" w:fill="F3E8FF"/>
          </w:tcPr>
          <w:p w14:paraId="29F7BB38">
            <w:pPr>
              <w:spacing w:after="0" w:line="240" w:lineRule="auto"/>
              <w:jc w:val="center"/>
            </w:pPr>
            <w:r>
              <w:rPr>
                <w:rFonts w:ascii="Calibri" w:hAnsi="Calibri" w:eastAsia="Calibri"/>
                <w:sz w:val="20"/>
              </w:rPr>
              <w:t>$1,000</w:t>
            </w:r>
          </w:p>
        </w:tc>
        <w:tc>
          <w:tcPr>
            <w:shd w:val="clear" w:color="auto" w:fill="F3E8FF"/>
          </w:tcPr>
          <w:p w14:paraId="54C7C1E4">
            <w:pPr>
              <w:spacing w:after="0" w:line="240" w:lineRule="auto"/>
            </w:pPr>
            <w:r>
              <w:rPr>
                <w:rFonts w:ascii="Calibri" w:hAnsi="Calibri" w:eastAsia="Calibri"/>
                <w:sz w:val="20"/>
              </w:rPr>
              <w:t>Gym membership</w:t>
            </w:r>
          </w:p>
        </w:tc>
      </w:tr>
      <w:tr w14:paraId="5C5D2AF8">
        <w:trPr>
          <w:jc w:val="center"/>
        </w:trPr>
        <w:tc>
          <w:p w14:paraId="78746226">
            <w:pPr>
              <w:spacing w:after="0" w:line="240" w:lineRule="auto"/>
            </w:pPr>
            <w:r>
              <w:rPr>
                <w:rFonts w:ascii="Calibri" w:hAnsi="Calibri" w:eastAsia="Calibri"/>
                <w:sz w:val="20"/>
              </w:rPr>
              <w:t>Mid-Level</w:t>
            </w:r>
          </w:p>
        </w:tc>
        <w:tc>
          <w:p w14:paraId="0EE2C3F0">
            <w:pPr>
              <w:spacing w:after="0" w:line="240" w:lineRule="auto"/>
              <w:jc w:val="center"/>
            </w:pPr>
            <w:r>
              <w:rPr>
                <w:rFonts w:ascii="Calibri" w:hAnsi="Calibri" w:eastAsia="Calibri"/>
                <w:sz w:val="20"/>
              </w:rPr>
              <w:t>20 days</w:t>
            </w:r>
          </w:p>
        </w:tc>
        <w:tc>
          <w:p w14:paraId="59855EF5">
            <w:pPr>
              <w:spacing w:after="0" w:line="240" w:lineRule="auto"/>
            </w:pPr>
            <w:r>
              <w:rPr>
                <w:rFonts w:ascii="Calibri" w:hAnsi="Calibri" w:eastAsia="Calibri"/>
                <w:sz w:val="20"/>
              </w:rPr>
              <w:t>Medical + Dental</w:t>
            </w:r>
          </w:p>
        </w:tc>
        <w:tc>
          <w:p w14:paraId="287B4FB9">
            <w:pPr>
              <w:spacing w:after="0" w:line="240" w:lineRule="auto"/>
              <w:jc w:val="center"/>
            </w:pPr>
            <w:r>
              <w:rPr>
                <w:rFonts w:ascii="Calibri" w:hAnsi="Calibri" w:eastAsia="Calibri"/>
                <w:sz w:val="20"/>
              </w:rPr>
              <w:t>$3,000</w:t>
            </w:r>
          </w:p>
        </w:tc>
        <w:tc>
          <w:p w14:paraId="0EA87E37">
            <w:pPr>
              <w:spacing w:after="0" w:line="240" w:lineRule="auto"/>
            </w:pPr>
            <w:r>
              <w:rPr>
                <w:rFonts w:ascii="Calibri" w:hAnsi="Calibri" w:eastAsia="Calibri"/>
                <w:sz w:val="20"/>
              </w:rPr>
              <w:t>Gym + Wellness</w:t>
            </w:r>
          </w:p>
        </w:tc>
      </w:tr>
      <w:tr w14:paraId="68D43902">
        <w:trPr>
          <w:jc w:val="center"/>
        </w:trPr>
        <w:tc>
          <w:tcPr>
            <w:shd w:val="clear" w:color="auto" w:fill="F3E8FF"/>
          </w:tcPr>
          <w:p w14:paraId="1D975120">
            <w:pPr>
              <w:spacing w:after="0" w:line="240" w:lineRule="auto"/>
            </w:pPr>
            <w:r>
              <w:rPr>
                <w:rFonts w:ascii="Calibri" w:hAnsi="Calibri" w:eastAsia="Calibri"/>
                <w:sz w:val="20"/>
              </w:rPr>
              <w:t>Senior</w:t>
            </w:r>
          </w:p>
        </w:tc>
        <w:tc>
          <w:tcPr>
            <w:shd w:val="clear" w:color="auto" w:fill="F3E8FF"/>
          </w:tcPr>
          <w:p w14:paraId="422AB036">
            <w:pPr>
              <w:spacing w:after="0" w:line="240" w:lineRule="auto"/>
              <w:jc w:val="center"/>
            </w:pPr>
            <w:r>
              <w:rPr>
                <w:rFonts w:ascii="Calibri" w:hAnsi="Calibri" w:eastAsia="Calibri"/>
                <w:sz w:val="20"/>
              </w:rPr>
              <w:t>25 days</w:t>
            </w:r>
          </w:p>
        </w:tc>
        <w:tc>
          <w:tcPr>
            <w:shd w:val="clear" w:color="auto" w:fill="F3E8FF"/>
          </w:tcPr>
          <w:p w14:paraId="44BE84F5">
            <w:pPr>
              <w:spacing w:after="0" w:line="240" w:lineRule="auto"/>
            </w:pPr>
            <w:r>
              <w:rPr>
                <w:rFonts w:ascii="Calibri" w:hAnsi="Calibri" w:eastAsia="Calibri"/>
                <w:sz w:val="20"/>
              </w:rPr>
              <w:t>Full Family Coverage</w:t>
            </w:r>
          </w:p>
        </w:tc>
        <w:tc>
          <w:tcPr>
            <w:shd w:val="clear" w:color="auto" w:fill="F3E8FF"/>
          </w:tcPr>
          <w:p w14:paraId="003058A7">
            <w:pPr>
              <w:spacing w:after="0" w:line="240" w:lineRule="auto"/>
              <w:jc w:val="center"/>
            </w:pPr>
            <w:r>
              <w:rPr>
                <w:rFonts w:ascii="Calibri" w:hAnsi="Calibri" w:eastAsia="Calibri"/>
                <w:sz w:val="20"/>
              </w:rPr>
              <w:t>$5,000</w:t>
            </w:r>
          </w:p>
        </w:tc>
        <w:tc>
          <w:tcPr>
            <w:shd w:val="clear" w:color="auto" w:fill="F3E8FF"/>
          </w:tcPr>
          <w:p w14:paraId="6D8E1B6B">
            <w:pPr>
              <w:spacing w:after="0" w:line="240" w:lineRule="auto"/>
            </w:pPr>
            <w:r>
              <w:rPr>
                <w:rFonts w:ascii="Calibri" w:hAnsi="Calibri" w:eastAsia="Calibri"/>
                <w:sz w:val="20"/>
              </w:rPr>
              <w:t>Gym + Stock Options</w:t>
            </w:r>
          </w:p>
        </w:tc>
      </w:tr>
      <w:tr w14:paraId="3F3270C8">
        <w:trPr>
          <w:jc w:val="center"/>
        </w:trPr>
        <w:tc>
          <w:p w14:paraId="2006062F">
            <w:pPr>
              <w:spacing w:after="0" w:line="240" w:lineRule="auto"/>
            </w:pPr>
            <w:r>
              <w:rPr>
                <w:rFonts w:ascii="Calibri" w:hAnsi="Calibri" w:eastAsia="Calibri"/>
                <w:sz w:val="20"/>
              </w:rPr>
              <w:t>Lead</w:t>
            </w:r>
          </w:p>
        </w:tc>
        <w:tc>
          <w:p w14:paraId="6DABDB63">
            <w:pPr>
              <w:spacing w:after="0" w:line="240" w:lineRule="auto"/>
              <w:jc w:val="center"/>
            </w:pPr>
            <w:r>
              <w:rPr>
                <w:rFonts w:ascii="Calibri" w:hAnsi="Calibri" w:eastAsia="Calibri"/>
                <w:sz w:val="20"/>
              </w:rPr>
              <w:t>28 days</w:t>
            </w:r>
          </w:p>
        </w:tc>
        <w:tc>
          <w:p w14:paraId="57849DE7">
            <w:pPr>
              <w:spacing w:after="0" w:line="240" w:lineRule="auto"/>
            </w:pPr>
            <w:r>
              <w:rPr>
                <w:rFonts w:ascii="Calibri" w:hAnsi="Calibri" w:eastAsia="Calibri"/>
                <w:sz w:val="20"/>
              </w:rPr>
              <w:t>Premium Family</w:t>
            </w:r>
          </w:p>
        </w:tc>
        <w:tc>
          <w:p w14:paraId="6C0934A4">
            <w:pPr>
              <w:spacing w:after="0" w:line="240" w:lineRule="auto"/>
              <w:jc w:val="center"/>
            </w:pPr>
            <w:r>
              <w:rPr>
                <w:rFonts w:ascii="Calibri" w:hAnsi="Calibri" w:eastAsia="Calibri"/>
                <w:sz w:val="20"/>
              </w:rPr>
              <w:t>$8,000</w:t>
            </w:r>
          </w:p>
        </w:tc>
        <w:tc>
          <w:p w14:paraId="4B26CE1E">
            <w:pPr>
              <w:spacing w:after="0" w:line="240" w:lineRule="auto"/>
            </w:pPr>
            <w:r>
              <w:rPr>
                <w:rFonts w:ascii="Calibri" w:hAnsi="Calibri" w:eastAsia="Calibri"/>
                <w:sz w:val="20"/>
              </w:rPr>
              <w:t>All above + Sabbatical</w:t>
            </w:r>
          </w:p>
        </w:tc>
      </w:tr>
      <w:tr w14:paraId="5120C245">
        <w:trPr>
          <w:jc w:val="center"/>
        </w:trPr>
        <w:tc>
          <w:tcPr>
            <w:shd w:val="clear" w:color="auto" w:fill="F3E8FF"/>
          </w:tcPr>
          <w:p w14:paraId="6C4FC908">
            <w:pPr>
              <w:spacing w:after="0" w:line="240" w:lineRule="auto"/>
            </w:pPr>
            <w:r>
              <w:rPr>
                <w:rFonts w:ascii="Calibri" w:hAnsi="Calibri" w:eastAsia="Calibri"/>
                <w:sz w:val="20"/>
              </w:rPr>
              <w:t>Executive</w:t>
            </w:r>
          </w:p>
        </w:tc>
        <w:tc>
          <w:tcPr>
            <w:shd w:val="clear" w:color="auto" w:fill="F3E8FF"/>
          </w:tcPr>
          <w:p w14:paraId="6A0E9E35">
            <w:pPr>
              <w:spacing w:after="0" w:line="240" w:lineRule="auto"/>
              <w:jc w:val="center"/>
            </w:pPr>
            <w:r>
              <w:rPr>
                <w:rFonts w:ascii="Calibri" w:hAnsi="Calibri" w:eastAsia="Calibri"/>
                <w:sz w:val="20"/>
              </w:rPr>
              <w:t>30 days</w:t>
            </w:r>
          </w:p>
        </w:tc>
        <w:tc>
          <w:tcPr>
            <w:shd w:val="clear" w:color="auto" w:fill="F3E8FF"/>
          </w:tcPr>
          <w:p w14:paraId="3C1169E0">
            <w:pPr>
              <w:spacing w:after="0" w:line="240" w:lineRule="auto"/>
            </w:pPr>
            <w:r>
              <w:rPr>
                <w:rFonts w:ascii="Calibri" w:hAnsi="Calibri" w:eastAsia="Calibri"/>
                <w:sz w:val="20"/>
              </w:rPr>
              <w:t>Premium + Executive Health</w:t>
            </w:r>
          </w:p>
        </w:tc>
        <w:tc>
          <w:tcPr>
            <w:shd w:val="clear" w:color="auto" w:fill="F3E8FF"/>
          </w:tcPr>
          <w:p w14:paraId="0465F232">
            <w:pPr>
              <w:spacing w:after="0" w:line="240" w:lineRule="auto"/>
              <w:jc w:val="center"/>
            </w:pPr>
            <w:r>
              <w:rPr>
                <w:rFonts w:ascii="Calibri" w:hAnsi="Calibri" w:eastAsia="Calibri"/>
                <w:sz w:val="20"/>
              </w:rPr>
              <w:t>$15,000</w:t>
            </w:r>
          </w:p>
        </w:tc>
        <w:tc>
          <w:tcPr>
            <w:shd w:val="clear" w:color="auto" w:fill="F3E8FF"/>
          </w:tcPr>
          <w:p w14:paraId="40C4CE76">
            <w:pPr>
              <w:spacing w:after="0" w:line="240" w:lineRule="auto"/>
            </w:pPr>
            <w:r>
              <w:rPr>
                <w:rFonts w:ascii="Calibri" w:hAnsi="Calibri" w:eastAsia="Calibri"/>
                <w:sz w:val="20"/>
              </w:rPr>
              <w:t>All above + Car Allowance</w:t>
            </w:r>
          </w:p>
        </w:tc>
      </w:tr>
    </w:tbl>
    <w:p w14:paraId="1CC76B86">
      <w:pPr>
        <w:pageBreakBefore/>
      </w:pPr>
    </w:p>
    <w:p w14:paraId="4817CA98">
      <w:pPr>
        <w:spacing w:after="160"/>
      </w:pPr>
      <w:r>
        <w:rPr>
          <w:rFonts w:ascii="Calibri Light" w:hAnsi="Calibri Light" w:eastAsia="Calibri Light"/>
          <w:color w:val="4A1080"/>
          <w:sz w:val="44"/>
        </w:rPr>
        <w:t>Chapter 5: Code of Conduct</w:t>
      </w:r>
    </w:p>
    <w:p w14:paraId="15D9E8BD">
      <w:pPr>
        <w:spacing w:after="160"/>
      </w:pPr>
      <w:r>
        <w:rPr>
          <w:rFonts w:ascii="Calibri" w:hAnsi="Calibri" w:eastAsia="Calibri"/>
          <w:sz w:val="22"/>
        </w:rPr>
        <w:t>All employees are expected to uphold the highest standards of professional and ethical behavior. The following principles guide our conduct:</w:t>
      </w:r>
    </w:p>
    <w:p w14:paraId="7454500A">
      <w:pPr>
        <w:numPr>
          <w:ilvl w:val="0"/>
          <w:numId w:val="2"/>
        </w:numPr>
        <w:spacing w:after="80"/>
      </w:pPr>
      <w:r>
        <w:rPr>
          <w:rFonts w:ascii="Calibri" w:hAnsi="Calibri" w:eastAsia="Calibri"/>
          <w:sz w:val="22"/>
        </w:rPr>
        <w:t>Treat all colleagues, clients, and partners with respect and dignity</w:t>
      </w:r>
    </w:p>
    <w:p w14:paraId="200909D4">
      <w:pPr>
        <w:numPr>
          <w:ilvl w:val="0"/>
          <w:numId w:val="2"/>
        </w:numPr>
        <w:spacing w:after="80"/>
      </w:pPr>
      <w:r>
        <w:rPr>
          <w:rFonts w:ascii="Calibri" w:hAnsi="Calibri" w:eastAsia="Calibri"/>
          <w:sz w:val="22"/>
        </w:rPr>
        <w:t>Maintain confidentiality of proprietary information and trade secrets</w:t>
      </w:r>
    </w:p>
    <w:p w14:paraId="52C56644">
      <w:pPr>
        <w:numPr>
          <w:ilvl w:val="0"/>
          <w:numId w:val="2"/>
        </w:numPr>
        <w:spacing w:after="80"/>
      </w:pPr>
      <w:r>
        <w:rPr>
          <w:rFonts w:ascii="Calibri" w:hAnsi="Calibri" w:eastAsia="Calibri"/>
          <w:sz w:val="22"/>
        </w:rPr>
        <w:t>Avoid conflicts of interest and disclose any potential conflicts to your manager</w:t>
      </w:r>
    </w:p>
    <w:p w14:paraId="79BB601A">
      <w:pPr>
        <w:numPr>
          <w:ilvl w:val="0"/>
          <w:numId w:val="2"/>
        </w:numPr>
        <w:spacing w:after="80"/>
      </w:pPr>
      <w:r>
        <w:rPr>
          <w:rFonts w:ascii="Calibri" w:hAnsi="Calibri" w:eastAsia="Calibri"/>
          <w:sz w:val="22"/>
        </w:rPr>
        <w:t>Use company resources responsibly and only for legitimate business purposes</w:t>
      </w:r>
    </w:p>
    <w:p w14:paraId="673139EE">
      <w:pPr>
        <w:numPr>
          <w:ilvl w:val="0"/>
          <w:numId w:val="2"/>
        </w:numPr>
        <w:spacing w:after="80"/>
      </w:pPr>
      <w:r>
        <w:rPr>
          <w:rFonts w:ascii="Calibri" w:hAnsi="Calibri" w:eastAsia="Calibri"/>
          <w:sz w:val="22"/>
        </w:rPr>
        <w:t>Report any violations of this code through the appropriate channels</w:t>
      </w:r>
    </w:p>
    <w:p w14:paraId="57FC17AC">
      <w:pPr>
        <w:numPr>
          <w:ilvl w:val="0"/>
          <w:numId w:val="2"/>
        </w:numPr>
        <w:spacing w:after="80"/>
      </w:pPr>
      <w:r>
        <w:rPr>
          <w:rFonts w:ascii="Calibri" w:hAnsi="Calibri" w:eastAsia="Calibri"/>
          <w:sz w:val="22"/>
        </w:rPr>
        <w:t>Comply with all applicable laws, regulations, and company policies</w:t>
      </w:r>
    </w:p>
    <w:p w14:paraId="53117B76">
      <w:pPr>
        <w:numPr>
          <w:ilvl w:val="0"/>
          <w:numId w:val="2"/>
        </w:numPr>
        <w:spacing w:after="240"/>
      </w:pPr>
      <w:r>
        <w:rPr>
          <w:rFonts w:ascii="Calibri" w:hAnsi="Calibri" w:eastAsia="Calibri"/>
          <w:sz w:val="22"/>
        </w:rPr>
        <w:t>Foster an inclusive workplace free from discrimination and harassment</w:t>
      </w:r>
    </w:p>
    <w:p w14:paraId="7C695F03">
      <w:pPr>
        <w:spacing w:after="80"/>
      </w:pPr>
      <w:r>
        <w:rPr>
          <w:rFonts w:ascii="Calibri" w:hAnsi="Calibri" w:eastAsia="Calibri"/>
          <w:sz w:val="22"/>
        </w:rPr>
        <w:t xml:space="preserve">For the complete Code of Conduct policy, please visit: </w:t>
      </w:r>
      <w:r>
        <w:fldChar w:fldCharType="begin"/>
      </w:r>
      <w:r>
        <w:instrText xml:space="preserve"> HYPERLINK "https://creativehub.example.com/policies/code-of-conduct" \h </w:instrText>
      </w:r>
      <w:r>
        <w:fldChar w:fldCharType="separate"/>
      </w:r>
      <w:r>
        <w:rPr>
          <w:color w:val="4A1080"/>
          <w:sz w:val="22"/>
          <w:u w:val="single"/>
        </w:rPr>
        <w:t>CreativeHub Policy Portal</w:t>
      </w:r>
      <w:r>
        <w:rPr>
          <w:color w:val="4A1080"/>
          <w:sz w:val="22"/>
          <w:u w:val="single"/>
        </w:rPr>
        <w:fldChar w:fldCharType="end"/>
      </w:r>
    </w:p>
    <w:p w14:paraId="4D3F0D7C">
      <w:pPr>
        <w:pBdr>
          <w:left w:val="single" w:color="FF8C00" w:sz="6" w:space="4"/>
        </w:pBdr>
        <w:shd w:val="clear" w:fill="FFF3CD"/>
        <w:spacing w:before="240" w:after="320"/>
        <w:ind w:left="360"/>
      </w:pPr>
      <w:r>
        <w:rPr>
          <w:rFonts w:ascii="Calibri" w:hAnsi="Calibri" w:eastAsia="Calibri"/>
          <w:b/>
          <w:sz w:val="22"/>
          <w:shd w:val="clear" w:fill="FFF3CD"/>
        </w:rPr>
        <w:t>Warning: Violations of the Code of Conduct may result in disciplinary action, up to and including termination of employment. All reports of misconduct will be investigated promptly and thoroughly. Retaliation against anyone who reports a violation in good faith is strictly prohibited.</w:t>
      </w:r>
    </w:p>
    <w:p w14:paraId="1EE6E9B0">
      <w:pPr>
        <w:sectPr>
          <w:pgSz w:w="16838" w:h="11906" w:orient="landscape"/>
          <w:pgMar w:top="1440" w:right="1800" w:bottom="1440" w:left="1800" w:header="720" w:footer="720" w:gutter="0"/>
          <w:cols w:space="720" w:num="1"/>
        </w:sectPr>
      </w:pPr>
    </w:p>
    <w:p w14:paraId="51BD37A3">
      <w:pPr>
        <w:spacing w:after="160"/>
      </w:pPr>
      <w:r>
        <w:rPr>
          <w:rFonts w:ascii="Calibri Light" w:hAnsi="Calibri Light" w:eastAsia="Calibri Light"/>
          <w:color w:val="4A1080"/>
          <w:sz w:val="44"/>
        </w:rPr>
        <w:t>Appendix: Salary Structure</w:t>
      </w:r>
    </w:p>
    <w:p w14:paraId="55F61D37">
      <w:pPr>
        <w:spacing w:after="240"/>
      </w:pPr>
      <w:r>
        <w:rPr>
          <w:rFonts w:ascii="Calibri" w:hAnsi="Calibri" w:eastAsia="Calibri"/>
          <w:sz w:val="22"/>
        </w:rPr>
        <w:t>The following table outlines the salary bands for each level at CreativeHub Inc. All figures are in USD and represent annual compensation.</w:t>
      </w:r>
    </w:p>
    <w:tbl>
      <w:tblPr>
        <w:tblStyle w:val="3"/>
        <w:tblW w:w="5000" w:type="pct"/>
        <w:jc w:val="center"/>
        <w:tblBorders>
          <w:top w:val="single" w:color="D1B3E0" w:sz="4" w:space="0"/>
          <w:left w:val="single" w:color="D1B3E0" w:sz="4" w:space="0"/>
          <w:bottom w:val="single" w:color="D1B3E0" w:sz="4" w:space="0"/>
          <w:right w:val="single" w:color="D1B3E0" w:sz="4" w:space="0"/>
          <w:insideH w:val="single" w:color="D1B3E0" w:sz="4" w:space="0"/>
          <w:insideV w:val="single" w:color="D1B3E0" w:sz="4" w:space="0"/>
        </w:tblBorders>
        <w:tblLayout w:type="autofit"/>
        <w:tblCellMar>
          <w:top w:w="0" w:type="dxa"/>
          <w:left w:w="10" w:type="dxa"/>
          <w:bottom w:w="0" w:type="dxa"/>
          <w:right w:w="10" w:type="dxa"/>
        </w:tblCellMar>
      </w:tblPr>
      <w:tblGrid>
        <w:gridCol w:w="1459"/>
        <w:gridCol w:w="1689"/>
        <w:gridCol w:w="1184"/>
        <w:gridCol w:w="1265"/>
        <w:gridCol w:w="1510"/>
        <w:gridCol w:w="1553"/>
      </w:tblGrid>
      <w:tr w14:paraId="3B9EA19D">
        <w:trPr>
          <w:jc w:val="center"/>
        </w:trPr>
        <w:tc>
          <w:tcPr>
            <w:shd w:val="clear" w:color="auto" w:fill="4A1080"/>
          </w:tcPr>
          <w:p w14:paraId="6B739EB6">
            <w:pPr>
              <w:spacing w:after="0" w:line="240" w:lineRule="auto"/>
              <w:jc w:val="center"/>
            </w:pPr>
            <w:r>
              <w:rPr>
                <w:rFonts w:ascii="Calibri" w:hAnsi="Calibri" w:eastAsia="Calibri"/>
                <w:b/>
                <w:color w:val="FFFFFF"/>
                <w:sz w:val="20"/>
              </w:rPr>
              <w:t>Level</w:t>
            </w:r>
          </w:p>
        </w:tc>
        <w:tc>
          <w:tcPr>
            <w:shd w:val="clear" w:color="auto" w:fill="4A1080"/>
          </w:tcPr>
          <w:p w14:paraId="66C8B4E9">
            <w:pPr>
              <w:spacing w:after="0" w:line="240" w:lineRule="auto"/>
              <w:jc w:val="center"/>
            </w:pPr>
            <w:r>
              <w:rPr>
                <w:rFonts w:ascii="Calibri" w:hAnsi="Calibri" w:eastAsia="Calibri"/>
                <w:b/>
                <w:color w:val="FFFFFF"/>
                <w:sz w:val="20"/>
              </w:rPr>
              <w:t>Base Salary</w:t>
            </w:r>
          </w:p>
        </w:tc>
        <w:tc>
          <w:tcPr>
            <w:shd w:val="clear" w:color="auto" w:fill="4A1080"/>
          </w:tcPr>
          <w:p w14:paraId="434263BE">
            <w:pPr>
              <w:spacing w:after="0" w:line="240" w:lineRule="auto"/>
              <w:jc w:val="center"/>
            </w:pPr>
            <w:r>
              <w:rPr>
                <w:rFonts w:ascii="Calibri" w:hAnsi="Calibri" w:eastAsia="Calibri"/>
                <w:b/>
                <w:color w:val="FFFFFF"/>
                <w:sz w:val="20"/>
              </w:rPr>
              <w:t>Bonus Target</w:t>
            </w:r>
          </w:p>
        </w:tc>
        <w:tc>
          <w:tcPr>
            <w:shd w:val="clear" w:color="auto" w:fill="4A1080"/>
          </w:tcPr>
          <w:p w14:paraId="16FA3B43">
            <w:pPr>
              <w:spacing w:after="0" w:line="240" w:lineRule="auto"/>
              <w:jc w:val="center"/>
            </w:pPr>
            <w:r>
              <w:rPr>
                <w:rFonts w:ascii="Calibri" w:hAnsi="Calibri" w:eastAsia="Calibri"/>
                <w:b/>
                <w:color w:val="FFFFFF"/>
                <w:sz w:val="20"/>
              </w:rPr>
              <w:t>Stock Options</w:t>
            </w:r>
          </w:p>
        </w:tc>
        <w:tc>
          <w:tcPr>
            <w:shd w:val="clear" w:color="auto" w:fill="4A1080"/>
          </w:tcPr>
          <w:p w14:paraId="746AE5D6">
            <w:pPr>
              <w:spacing w:after="0" w:line="240" w:lineRule="auto"/>
              <w:jc w:val="center"/>
            </w:pPr>
            <w:r>
              <w:rPr>
                <w:rFonts w:ascii="Calibri" w:hAnsi="Calibri" w:eastAsia="Calibri"/>
                <w:b/>
                <w:color w:val="FFFFFF"/>
                <w:sz w:val="20"/>
              </w:rPr>
              <w:t>Total Comp (Min)</w:t>
            </w:r>
          </w:p>
        </w:tc>
        <w:tc>
          <w:tcPr>
            <w:shd w:val="clear" w:color="auto" w:fill="4A1080"/>
          </w:tcPr>
          <w:p w14:paraId="08CD4039">
            <w:pPr>
              <w:spacing w:after="0" w:line="240" w:lineRule="auto"/>
              <w:jc w:val="center"/>
            </w:pPr>
            <w:r>
              <w:rPr>
                <w:rFonts w:ascii="Calibri" w:hAnsi="Calibri" w:eastAsia="Calibri"/>
                <w:b/>
                <w:color w:val="FFFFFF"/>
                <w:sz w:val="20"/>
              </w:rPr>
              <w:t>Total Comp (Max)</w:t>
            </w:r>
          </w:p>
        </w:tc>
      </w:tr>
      <w:tr w14:paraId="2AE11541">
        <w:trPr>
          <w:jc w:val="center"/>
        </w:trPr>
        <w:tc>
          <w:tcPr>
            <w:shd w:val="clear" w:color="auto" w:fill="F3E8FF"/>
          </w:tcPr>
          <w:p w14:paraId="0BFE681F">
            <w:pPr>
              <w:spacing w:after="0" w:line="240" w:lineRule="auto"/>
              <w:jc w:val="center"/>
            </w:pPr>
            <w:r>
              <w:rPr>
                <w:rFonts w:ascii="Calibri" w:hAnsi="Calibri" w:eastAsia="Calibri"/>
                <w:sz w:val="20"/>
              </w:rPr>
              <w:t>Junior (L1-L2)</w:t>
            </w:r>
          </w:p>
        </w:tc>
        <w:tc>
          <w:tcPr>
            <w:shd w:val="clear" w:color="auto" w:fill="F3E8FF"/>
          </w:tcPr>
          <w:p w14:paraId="1D67E0DC">
            <w:pPr>
              <w:spacing w:after="0" w:line="240" w:lineRule="auto"/>
              <w:jc w:val="center"/>
            </w:pPr>
            <w:r>
              <w:rPr>
                <w:rFonts w:ascii="Calibri" w:hAnsi="Calibri" w:eastAsia="Calibri"/>
                <w:sz w:val="20"/>
              </w:rPr>
              <w:t>$55,000 - $75,000</w:t>
            </w:r>
          </w:p>
        </w:tc>
        <w:tc>
          <w:tcPr>
            <w:shd w:val="clear" w:color="auto" w:fill="F3E8FF"/>
          </w:tcPr>
          <w:p w14:paraId="0D4978E5">
            <w:pPr>
              <w:spacing w:after="0" w:line="240" w:lineRule="auto"/>
              <w:jc w:val="center"/>
            </w:pPr>
            <w:r>
              <w:rPr>
                <w:rFonts w:ascii="Calibri" w:hAnsi="Calibri" w:eastAsia="Calibri"/>
                <w:sz w:val="20"/>
              </w:rPr>
              <w:t>5%</w:t>
            </w:r>
          </w:p>
        </w:tc>
        <w:tc>
          <w:tcPr>
            <w:shd w:val="clear" w:color="auto" w:fill="F3E8FF"/>
          </w:tcPr>
          <w:p w14:paraId="6D83C31D">
            <w:pPr>
              <w:spacing w:after="0" w:line="240" w:lineRule="auto"/>
              <w:jc w:val="center"/>
            </w:pPr>
            <w:r>
              <w:rPr>
                <w:rFonts w:ascii="Calibri" w:hAnsi="Calibri" w:eastAsia="Calibri"/>
                <w:sz w:val="20"/>
              </w:rPr>
              <w:t>500 units</w:t>
            </w:r>
          </w:p>
        </w:tc>
        <w:tc>
          <w:tcPr>
            <w:shd w:val="clear" w:color="auto" w:fill="F3E8FF"/>
          </w:tcPr>
          <w:p w14:paraId="390EAB18">
            <w:pPr>
              <w:spacing w:after="0" w:line="240" w:lineRule="auto"/>
              <w:jc w:val="center"/>
            </w:pPr>
            <w:r>
              <w:rPr>
                <w:rFonts w:ascii="Calibri" w:hAnsi="Calibri" w:eastAsia="Calibri"/>
                <w:sz w:val="20"/>
              </w:rPr>
              <w:t>$57,750</w:t>
            </w:r>
          </w:p>
        </w:tc>
        <w:tc>
          <w:tcPr>
            <w:shd w:val="clear" w:color="auto" w:fill="F3E8FF"/>
          </w:tcPr>
          <w:p w14:paraId="02D01C39">
            <w:pPr>
              <w:spacing w:after="0" w:line="240" w:lineRule="auto"/>
              <w:jc w:val="center"/>
            </w:pPr>
            <w:r>
              <w:rPr>
                <w:rFonts w:ascii="Calibri" w:hAnsi="Calibri" w:eastAsia="Calibri"/>
                <w:sz w:val="20"/>
              </w:rPr>
              <w:t>$78,750</w:t>
            </w:r>
          </w:p>
        </w:tc>
      </w:tr>
      <w:tr w14:paraId="213A3F43">
        <w:trPr>
          <w:jc w:val="center"/>
        </w:trPr>
        <w:tc>
          <w:p w14:paraId="0E8047DB">
            <w:pPr>
              <w:spacing w:after="0" w:line="240" w:lineRule="auto"/>
              <w:jc w:val="center"/>
            </w:pPr>
            <w:r>
              <w:rPr>
                <w:rFonts w:ascii="Calibri" w:hAnsi="Calibri" w:eastAsia="Calibri"/>
                <w:sz w:val="20"/>
              </w:rPr>
              <w:t>Mid-Level (L3-L4)</w:t>
            </w:r>
          </w:p>
        </w:tc>
        <w:tc>
          <w:p w14:paraId="7419F839">
            <w:pPr>
              <w:spacing w:after="0" w:line="240" w:lineRule="auto"/>
              <w:jc w:val="center"/>
            </w:pPr>
            <w:r>
              <w:rPr>
                <w:rFonts w:ascii="Calibri" w:hAnsi="Calibri" w:eastAsia="Calibri"/>
                <w:sz w:val="20"/>
              </w:rPr>
              <w:t>$80,000 - $110,000</w:t>
            </w:r>
          </w:p>
        </w:tc>
        <w:tc>
          <w:p w14:paraId="042B338D">
            <w:pPr>
              <w:spacing w:after="0" w:line="240" w:lineRule="auto"/>
              <w:jc w:val="center"/>
            </w:pPr>
            <w:r>
              <w:rPr>
                <w:rFonts w:ascii="Calibri" w:hAnsi="Calibri" w:eastAsia="Calibri"/>
                <w:sz w:val="20"/>
              </w:rPr>
              <w:t>10%</w:t>
            </w:r>
          </w:p>
        </w:tc>
        <w:tc>
          <w:p w14:paraId="727D6544">
            <w:pPr>
              <w:spacing w:after="0" w:line="240" w:lineRule="auto"/>
              <w:jc w:val="center"/>
            </w:pPr>
            <w:r>
              <w:rPr>
                <w:rFonts w:ascii="Calibri" w:hAnsi="Calibri" w:eastAsia="Calibri"/>
                <w:sz w:val="20"/>
              </w:rPr>
              <w:t>1,500 units</w:t>
            </w:r>
          </w:p>
        </w:tc>
        <w:tc>
          <w:p w14:paraId="1F8E3942">
            <w:pPr>
              <w:spacing w:after="0" w:line="240" w:lineRule="auto"/>
              <w:jc w:val="center"/>
            </w:pPr>
            <w:r>
              <w:rPr>
                <w:rFonts w:ascii="Calibri" w:hAnsi="Calibri" w:eastAsia="Calibri"/>
                <w:sz w:val="20"/>
              </w:rPr>
              <w:t>$88,000</w:t>
            </w:r>
          </w:p>
        </w:tc>
        <w:tc>
          <w:p w14:paraId="6824E009">
            <w:pPr>
              <w:spacing w:after="0" w:line="240" w:lineRule="auto"/>
              <w:jc w:val="center"/>
            </w:pPr>
            <w:r>
              <w:rPr>
                <w:rFonts w:ascii="Calibri" w:hAnsi="Calibri" w:eastAsia="Calibri"/>
                <w:sz w:val="20"/>
              </w:rPr>
              <w:t>$121,000</w:t>
            </w:r>
          </w:p>
        </w:tc>
      </w:tr>
      <w:tr w14:paraId="77A1731C">
        <w:trPr>
          <w:jc w:val="center"/>
        </w:trPr>
        <w:tc>
          <w:tcPr>
            <w:shd w:val="clear" w:color="auto" w:fill="F3E8FF"/>
          </w:tcPr>
          <w:p w14:paraId="34A41E4E">
            <w:pPr>
              <w:spacing w:after="0" w:line="240" w:lineRule="auto"/>
              <w:jc w:val="center"/>
            </w:pPr>
            <w:r>
              <w:rPr>
                <w:rFonts w:ascii="Calibri" w:hAnsi="Calibri" w:eastAsia="Calibri"/>
                <w:sz w:val="20"/>
              </w:rPr>
              <w:t>Senior (L5-L6)</w:t>
            </w:r>
          </w:p>
        </w:tc>
        <w:tc>
          <w:tcPr>
            <w:shd w:val="clear" w:color="auto" w:fill="F3E8FF"/>
          </w:tcPr>
          <w:p w14:paraId="1DB358E7">
            <w:pPr>
              <w:spacing w:after="0" w:line="240" w:lineRule="auto"/>
              <w:jc w:val="center"/>
            </w:pPr>
            <w:r>
              <w:rPr>
                <w:rFonts w:ascii="Calibri" w:hAnsi="Calibri" w:eastAsia="Calibri"/>
                <w:sz w:val="20"/>
              </w:rPr>
              <w:t>$115,000 - $155,000</w:t>
            </w:r>
          </w:p>
        </w:tc>
        <w:tc>
          <w:tcPr>
            <w:shd w:val="clear" w:color="auto" w:fill="F3E8FF"/>
          </w:tcPr>
          <w:p w14:paraId="293002D4">
            <w:pPr>
              <w:spacing w:after="0" w:line="240" w:lineRule="auto"/>
              <w:jc w:val="center"/>
            </w:pPr>
            <w:r>
              <w:rPr>
                <w:rFonts w:ascii="Calibri" w:hAnsi="Calibri" w:eastAsia="Calibri"/>
                <w:sz w:val="20"/>
              </w:rPr>
              <w:t>15%</w:t>
            </w:r>
          </w:p>
        </w:tc>
        <w:tc>
          <w:tcPr>
            <w:shd w:val="clear" w:color="auto" w:fill="F3E8FF"/>
          </w:tcPr>
          <w:p w14:paraId="5084CA69">
            <w:pPr>
              <w:spacing w:after="0" w:line="240" w:lineRule="auto"/>
              <w:jc w:val="center"/>
            </w:pPr>
            <w:r>
              <w:rPr>
                <w:rFonts w:ascii="Calibri" w:hAnsi="Calibri" w:eastAsia="Calibri"/>
                <w:sz w:val="20"/>
              </w:rPr>
              <w:t>5,000 units</w:t>
            </w:r>
          </w:p>
        </w:tc>
        <w:tc>
          <w:tcPr>
            <w:shd w:val="clear" w:color="auto" w:fill="F3E8FF"/>
          </w:tcPr>
          <w:p w14:paraId="60C807C7">
            <w:pPr>
              <w:spacing w:after="0" w:line="240" w:lineRule="auto"/>
              <w:jc w:val="center"/>
            </w:pPr>
            <w:r>
              <w:rPr>
                <w:rFonts w:ascii="Calibri" w:hAnsi="Calibri" w:eastAsia="Calibri"/>
                <w:sz w:val="20"/>
              </w:rPr>
              <w:t>$132,250</w:t>
            </w:r>
          </w:p>
        </w:tc>
        <w:tc>
          <w:tcPr>
            <w:shd w:val="clear" w:color="auto" w:fill="F3E8FF"/>
          </w:tcPr>
          <w:p w14:paraId="343AA997">
            <w:pPr>
              <w:spacing w:after="0" w:line="240" w:lineRule="auto"/>
              <w:jc w:val="center"/>
            </w:pPr>
            <w:r>
              <w:rPr>
                <w:rFonts w:ascii="Calibri" w:hAnsi="Calibri" w:eastAsia="Calibri"/>
                <w:sz w:val="20"/>
              </w:rPr>
              <w:t>$178,250</w:t>
            </w:r>
          </w:p>
        </w:tc>
      </w:tr>
      <w:tr w14:paraId="5A63A064">
        <w:trPr>
          <w:jc w:val="center"/>
        </w:trPr>
        <w:tc>
          <w:p w14:paraId="63026769">
            <w:pPr>
              <w:spacing w:after="0" w:line="240" w:lineRule="auto"/>
              <w:jc w:val="center"/>
            </w:pPr>
            <w:r>
              <w:rPr>
                <w:rFonts w:ascii="Calibri" w:hAnsi="Calibri" w:eastAsia="Calibri"/>
                <w:sz w:val="20"/>
              </w:rPr>
              <w:t>Lead (L7)</w:t>
            </w:r>
          </w:p>
        </w:tc>
        <w:tc>
          <w:p w14:paraId="3DA68A16">
            <w:pPr>
              <w:spacing w:after="0" w:line="240" w:lineRule="auto"/>
              <w:jc w:val="center"/>
            </w:pPr>
            <w:r>
              <w:rPr>
                <w:rFonts w:ascii="Calibri" w:hAnsi="Calibri" w:eastAsia="Calibri"/>
                <w:sz w:val="20"/>
              </w:rPr>
              <w:t>$160,000 - $200,000</w:t>
            </w:r>
          </w:p>
        </w:tc>
        <w:tc>
          <w:p w14:paraId="396B0B1B">
            <w:pPr>
              <w:spacing w:after="0" w:line="240" w:lineRule="auto"/>
              <w:jc w:val="center"/>
            </w:pPr>
            <w:r>
              <w:rPr>
                <w:rFonts w:ascii="Calibri" w:hAnsi="Calibri" w:eastAsia="Calibri"/>
                <w:sz w:val="20"/>
              </w:rPr>
              <w:t>20%</w:t>
            </w:r>
          </w:p>
        </w:tc>
        <w:tc>
          <w:p w14:paraId="1EB09575">
            <w:pPr>
              <w:spacing w:after="0" w:line="240" w:lineRule="auto"/>
              <w:jc w:val="center"/>
            </w:pPr>
            <w:r>
              <w:rPr>
                <w:rFonts w:ascii="Calibri" w:hAnsi="Calibri" w:eastAsia="Calibri"/>
                <w:sz w:val="20"/>
              </w:rPr>
              <w:t>10,000 units</w:t>
            </w:r>
          </w:p>
        </w:tc>
        <w:tc>
          <w:p w14:paraId="086C3A75">
            <w:pPr>
              <w:spacing w:after="0" w:line="240" w:lineRule="auto"/>
              <w:jc w:val="center"/>
            </w:pPr>
            <w:r>
              <w:rPr>
                <w:rFonts w:ascii="Calibri" w:hAnsi="Calibri" w:eastAsia="Calibri"/>
                <w:sz w:val="20"/>
              </w:rPr>
              <w:t>$192,000</w:t>
            </w:r>
          </w:p>
        </w:tc>
        <w:tc>
          <w:p w14:paraId="34058ECC">
            <w:pPr>
              <w:spacing w:after="0" w:line="240" w:lineRule="auto"/>
              <w:jc w:val="center"/>
            </w:pPr>
            <w:r>
              <w:rPr>
                <w:rFonts w:ascii="Calibri" w:hAnsi="Calibri" w:eastAsia="Calibri"/>
                <w:sz w:val="20"/>
              </w:rPr>
              <w:t>$240,000</w:t>
            </w:r>
          </w:p>
        </w:tc>
      </w:tr>
      <w:tr w14:paraId="694F3A03">
        <w:trPr>
          <w:jc w:val="center"/>
        </w:trPr>
        <w:tc>
          <w:tcPr>
            <w:shd w:val="clear" w:color="auto" w:fill="F3E8FF"/>
          </w:tcPr>
          <w:p w14:paraId="46A1EA00">
            <w:pPr>
              <w:spacing w:after="0" w:line="240" w:lineRule="auto"/>
              <w:jc w:val="center"/>
            </w:pPr>
            <w:r>
              <w:rPr>
                <w:rFonts w:ascii="Calibri" w:hAnsi="Calibri" w:eastAsia="Calibri"/>
                <w:sz w:val="20"/>
              </w:rPr>
              <w:t>Executive (L8+)</w:t>
            </w:r>
          </w:p>
        </w:tc>
        <w:tc>
          <w:tcPr>
            <w:shd w:val="clear" w:color="auto" w:fill="F3E8FF"/>
          </w:tcPr>
          <w:p w14:paraId="6D11C7D2">
            <w:pPr>
              <w:spacing w:after="0" w:line="240" w:lineRule="auto"/>
              <w:jc w:val="center"/>
            </w:pPr>
            <w:r>
              <w:rPr>
                <w:rFonts w:ascii="Calibri" w:hAnsi="Calibri" w:eastAsia="Calibri"/>
                <w:sz w:val="20"/>
              </w:rPr>
              <w:t>$210,000 - $350,000</w:t>
            </w:r>
          </w:p>
        </w:tc>
        <w:tc>
          <w:tcPr>
            <w:shd w:val="clear" w:color="auto" w:fill="F3E8FF"/>
          </w:tcPr>
          <w:p w14:paraId="006EEF0A">
            <w:pPr>
              <w:spacing w:after="0" w:line="240" w:lineRule="auto"/>
              <w:jc w:val="center"/>
            </w:pPr>
            <w:r>
              <w:rPr>
                <w:rFonts w:ascii="Calibri" w:hAnsi="Calibri" w:eastAsia="Calibri"/>
                <w:sz w:val="20"/>
              </w:rPr>
              <w:t>30%</w:t>
            </w:r>
          </w:p>
        </w:tc>
        <w:tc>
          <w:tcPr>
            <w:shd w:val="clear" w:color="auto" w:fill="F3E8FF"/>
          </w:tcPr>
          <w:p w14:paraId="07FD5A5F">
            <w:pPr>
              <w:spacing w:after="0" w:line="240" w:lineRule="auto"/>
              <w:jc w:val="center"/>
            </w:pPr>
            <w:r>
              <w:rPr>
                <w:rFonts w:ascii="Calibri" w:hAnsi="Calibri" w:eastAsia="Calibri"/>
                <w:sz w:val="20"/>
              </w:rPr>
              <w:t>25,000 units</w:t>
            </w:r>
          </w:p>
        </w:tc>
        <w:tc>
          <w:tcPr>
            <w:shd w:val="clear" w:color="auto" w:fill="F3E8FF"/>
          </w:tcPr>
          <w:p w14:paraId="066F24F2">
            <w:pPr>
              <w:spacing w:after="0" w:line="240" w:lineRule="auto"/>
              <w:jc w:val="center"/>
            </w:pPr>
            <w:r>
              <w:rPr>
                <w:rFonts w:ascii="Calibri" w:hAnsi="Calibri" w:eastAsia="Calibri"/>
                <w:sz w:val="20"/>
              </w:rPr>
              <w:t>$273,000</w:t>
            </w:r>
          </w:p>
        </w:tc>
        <w:tc>
          <w:tcPr>
            <w:shd w:val="clear" w:color="auto" w:fill="F3E8FF"/>
          </w:tcPr>
          <w:p w14:paraId="59EF3A87">
            <w:pPr>
              <w:spacing w:after="0" w:line="240" w:lineRule="auto"/>
              <w:jc w:val="center"/>
            </w:pPr>
            <w:r>
              <w:rPr>
                <w:rFonts w:ascii="Calibri" w:hAnsi="Calibri" w:eastAsia="Calibri"/>
                <w:sz w:val="20"/>
              </w:rPr>
              <w:t>$455,000</w:t>
            </w:r>
          </w:p>
        </w:tc>
      </w:tr>
    </w:tbl>
    <w:p w14:paraId="3BD6D4E7">
      <w:pPr>
        <w:pBdr>
          <w:left w:val="single" w:color="17A2B8" w:sz="6" w:space="8"/>
        </w:pBdr>
        <w:shd w:val="clear" w:fill="D1ECF1"/>
        <w:spacing w:before="160" w:after="160"/>
        <w:rPr>
          <w:sz w:val="20"/>
        </w:rPr>
      </w:pPr>
      <w:r>
        <w:rPr>
          <w:rFonts w:ascii="Calibri" w:hAnsi="Calibri" w:eastAsia="Calibri"/>
          <w:i/>
          <w:color w:val="0C5460"/>
          <w:sz w:val="20"/>
        </w:rPr>
        <w:t>Note: Salary figures are reviewed annually. Stock options vest over a 4-year period with a 1-year cliff. Bonus targets are based on individual and company performance.</w:t>
      </w:r>
    </w:p>
    <w:sectPr>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汉仪书宋二KW"/>
    <w:panose1 w:val="00000000000000000000"/>
    <w:charset w:val="86"/>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SimHei">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Calibri Light">
    <w:altName w:val="Helvetica Neue"/>
    <w:panose1 w:val="00000000000000000000"/>
    <w:charset w:val="00"/>
    <w:family w:val="auto"/>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F64518"/>
    <w:multiLevelType w:val="multilevel"/>
    <w:tmpl w:val="FBF64518"/>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left"/>
      <w:pPr>
        <w:ind w:left="2160" w:hanging="36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left"/>
      <w:pPr>
        <w:ind w:left="4320" w:hanging="36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left"/>
      <w:pPr>
        <w:ind w:left="6480" w:hanging="360"/>
      </w:pPr>
    </w:lvl>
  </w:abstractNum>
  <w:abstractNum w:abstractNumId="1">
    <w:nsid w:val="FF7E1B27"/>
    <w:multiLevelType w:val="multilevel"/>
    <w:tmpl w:val="FF7E1B27"/>
    <w:lvl w:ilvl="0" w:tentative="0">
      <w:start w:val="1"/>
      <w:numFmt w:val="bullet"/>
      <w:lvlText w:val="•"/>
      <w:lvlJc w:val="left"/>
      <w:pPr>
        <w:ind w:left="720" w:hanging="360"/>
      </w:pPr>
    </w:lvl>
    <w:lvl w:ilvl="1" w:tentative="0">
      <w:start w:val="1"/>
      <w:numFmt w:val="bullet"/>
      <w:lvlText w:val="◦"/>
      <w:lvlJc w:val="left"/>
      <w:pPr>
        <w:ind w:left="1440" w:hanging="360"/>
      </w:pPr>
    </w:lvl>
    <w:lvl w:ilvl="2" w:tentative="0">
      <w:start w:val="1"/>
      <w:numFmt w:val="bullet"/>
      <w:lvlText w:val="▪"/>
      <w:lvlJc w:val="left"/>
      <w:pPr>
        <w:ind w:left="2160" w:hanging="360"/>
      </w:pPr>
    </w:lvl>
    <w:lvl w:ilvl="3" w:tentative="0">
      <w:start w:val="1"/>
      <w:numFmt w:val="bullet"/>
      <w:lvlText w:val="•"/>
      <w:lvlJc w:val="left"/>
      <w:pPr>
        <w:ind w:left="2880" w:hanging="360"/>
      </w:pPr>
    </w:lvl>
    <w:lvl w:ilvl="4" w:tentative="0">
      <w:start w:val="1"/>
      <w:numFmt w:val="bullet"/>
      <w:lvlText w:val="◦"/>
      <w:lvlJc w:val="left"/>
      <w:pPr>
        <w:ind w:left="3600" w:hanging="360"/>
      </w:pPr>
    </w:lvl>
    <w:lvl w:ilvl="5" w:tentative="0">
      <w:start w:val="1"/>
      <w:numFmt w:val="bullet"/>
      <w:lvlText w:val="▪"/>
      <w:lvlJc w:val="left"/>
      <w:pPr>
        <w:ind w:left="4320" w:hanging="360"/>
      </w:pPr>
    </w:lvl>
    <w:lvl w:ilvl="6" w:tentative="0">
      <w:start w:val="1"/>
      <w:numFmt w:val="bullet"/>
      <w:lvlText w:val="•"/>
      <w:lvlJc w:val="left"/>
      <w:pPr>
        <w:ind w:left="5040" w:hanging="360"/>
      </w:pPr>
    </w:lvl>
    <w:lvl w:ilvl="7" w:tentative="0">
      <w:start w:val="1"/>
      <w:numFmt w:val="bullet"/>
      <w:lvlText w:val="◦"/>
      <w:lvlJc w:val="left"/>
      <w:pPr>
        <w:ind w:left="5760" w:hanging="360"/>
      </w:pPr>
    </w:lvl>
    <w:lvl w:ilvl="8" w:tentative="0">
      <w:start w:val="1"/>
      <w:numFmt w:val="bullet"/>
      <w:lvlText w:val="▪"/>
      <w:lvlJc w:val="left"/>
      <w:pPr>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2"/>
  <w:documentProtection w:enforcement="0"/>
  <w:evenAndOddHeaders w:val="1"/>
  <w:compat>
    <w:splitPgBreakAndParaMark/>
    <w:compatSetting w:name="compatibilityMode" w:uri="http://schemas.microsoft.com/office/word" w:val="12"/>
  </w:compat>
  <w:rsids>
    <w:rsidRoot w:val="00000000"/>
    <w:rsid w:val="2FFFFB4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sz w:val="21"/>
      <w:szCs w:val="22"/>
    </w:rPr>
  </w:style>
  <w:style w:type="character" w:default="1" w:styleId="2">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7</Pages>
  <TotalTime>0</TotalTime>
  <ScaleCrop>false</ScaleCrop>
  <LinksUpToDate>false</LinksUpToDate>
  <Application>WPS Office_12.1.25201.25201_F1E327BC-269C-435d-A152-05C5408002CA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2026-03-26T14:21:46Z</dcterms:created>
  <dc:creator>CreativeHub Inc.</dc:creator>
  <cp:lastModifiedBy>veryliu</cp:lastModifiedBy>
  <dcterms:modified xsi:type="dcterms:W3CDTF">2026-03-26T14:26:24Z</dcterms:modified>
  <dc:subject>Employee Handbook</dc:subject>
  <dc:title>CreativeHub Inc. Employee Handbook 2026</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1033-12.1.25201.25201</vt:lpwstr>
  </property>
  <property fmtid="{D5CDD505-2E9C-101B-9397-08002B2CF9AE}" pid="3" name="ICV">
    <vt:lpwstr>8047A8F492C0781790D1C46986A72E0F_42</vt:lpwstr>
  </property>
</Properties>
</file>