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ettings.xml" ContentType="application/vnd.openxmlformats-officedocument.wordprocessingml.settings+xml"/>
  <Override PartName="/word/footnotes.xml" ContentType="application/vnd.openxmlformats-officedocument.wordprocessingml.footnotes+xml"/>
  <Override PartName="/word/charts/chart1.xml" ContentType="application/vnd.openxmlformats-officedocument.drawingml.chart+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Types>
</file>

<file path=_rels/.rels>&#65279;<?xml version="1.0" encoding="utf-8"?><Relationships xmlns="http://schemas.openxmlformats.org/package/2006/relationships"><Relationship Type="http://schemas.openxmlformats.org/officeDocument/2006/relationships/officeDocument" Target="/word/document.xml" Id="Rca730092350d4f86" /></Relationships>
</file>

<file path=word/document.xml><?xml version="1.0" encoding="utf-8"?>
<w:document xmlns:wp="http://schemas.openxmlformats.org/drawingml/2006/wordprocessingDrawing" xmlns:a="http://schemas.openxmlformats.org/drawingml/2006/main" xmlns:r="http://schemas.openxmlformats.org/officeDocument/2006/relationships" xmlns:c="http://schemas.openxmlformats.org/drawingml/2006/chart" xmlns:w="http://schemas.openxmlformats.org/wordprocessingml/2006/main">
  <w:body>
    <w:p>
      <w:pPr>
        <w:shd w:val="clear" w:fill="1B2A4A"/>
        <w:spacing w:before="1440" w:after="120"/>
        <w:jc w:val="center"/>
      </w:pPr>
      <w:r>
        <w:rPr>
          <w:rFonts w:ascii="Georgia" w:hAnsi="Georgia" w:eastAsia="Georgia"/>
          <w:b/>
          <w:color w:val="FFFFFF"/>
          <w:sz w:val="72"/>
          <w:shd w:val="clear" w:fill="1B2A4A"/>
        </w:rPr>
        <w:t xml:space="preserve">TechVision Corp</w:t>
      </w:r>
    </w:p>
    <w:p>
      <w:pPr>
        <w:shd w:val="clear" w:fill="1B2A4A"/>
        <w:spacing w:after="120"/>
        <w:jc w:val="center"/>
      </w:pPr>
      <w:r>
        <w:rPr>
          <w:rFonts w:ascii="Georgia" w:hAnsi="Georgia" w:eastAsia="Georgia"/>
          <w:color w:val="D4AF37"/>
          <w:sz w:val="36"/>
          <w:shd w:val="clear" w:fill="1B2A4A"/>
        </w:rPr>
        <w:t xml:space="preserve">Annual Report 2025</w:t>
      </w:r>
    </w:p>
    <w:p>
      <w:pPr>
        <w:shd w:val="clear" w:fill="1B2A4A"/>
        <w:spacing w:before="120" w:after="120" w:line="192" w:lineRule="auto"/>
        <w:jc w:val="center"/>
      </w:pPr>
      <w:r>
        <w:rPr>
          <w:color w:val="D4AF37"/>
          <w:sz w:val="12"/>
          <w:shd w:val="clear" w:fill="1B2A4A"/>
        </w:rPr>
        <w:t xml:space="preserve">—</w:t>
      </w:r>
    </w:p>
    <w:p>
      <w:pPr>
        <w:shd w:val="clear" w:fill="1B2A4A"/>
        <w:spacing w:before="120" w:after="240"/>
        <w:jc w:val="center"/>
      </w:pPr>
      <w:r>
        <w:rPr>
          <w:rFonts w:ascii="Georgia" w:hAnsi="Georgia" w:eastAsia="Georgia"/>
          <w:i/>
          <w:color w:val="FFFFFF"/>
          <w:sz w:val="28"/>
          <w:shd w:val="clear" w:fill="1B2A4A"/>
        </w:rPr>
        <w:t xml:space="preserve">Driving Innovation Through Technology</w:t>
      </w:r>
    </w:p>
    <w:p>
      <w:pPr>
        <w:shd w:val="clear" w:fill="1B2A4A"/>
        <w:spacing w:before="0" w:after="0" w:line="192" w:lineRule="auto"/>
      </w:pPr>
      <w:r>
        <w:rPr>
          <w:sz w:val="12"/>
          <w:shd w:val="clear" w:fill="1B2A4A"/>
        </w:rPr>
        <w:t xml:space="preserve"/>
      </w:r>
    </w:p>
    <w:p>
      <w:pPr>
        <w:shd w:val="clear" w:fill="1B2A4A"/>
        <w:spacing w:before="120" w:after="240"/>
        <w:jc w:val="center"/>
      </w:pPr>
      <w:r>
        <w:rPr>
          <w:rFonts w:ascii="Calibri" w:hAnsi="Calibri" w:eastAsia="Calibri"/>
          <w:color w:val="666666"/>
          <w:sz w:val="22"/>
          <w:shd w:val="clear" w:fill="1B2A4A"/>
        </w:rPr>
        <w:t xml:space="preserve">Global technology leader | 12,000+ employees | 40+ countries</w:t>
      </w:r>
    </w:p>
    <w:p>
      <w:pPr>
        <w:shd w:val="clear" w:fill="1B2A4A"/>
        <w:spacing w:after="240"/>
        <w:jc w:val="center"/>
      </w:pPr>
      <w:r>
        <w:rPr>
          <w:rFonts w:ascii="Calibri" w:hAnsi="Calibri" w:eastAsia="Calibri"/>
          <w:color w:val="AAAAAA"/>
          <w:sz w:val="24"/>
          <w:shd w:val="clear" w:fill="1B2A4A"/>
        </w:rPr>
        <w:t xml:space="preserve">Published: March 2025 | Confidential</w:t>
      </w:r>
    </w:p>
    <w:p>
      <w:pPr>
        <w:shd w:val="clear" w:fill="1B2A4A"/>
        <w:spacing w:before="0" w:after="0" w:line="360" w:lineRule="auto"/>
      </w:pPr>
    </w:p>
    <w:p>
      <w:pPr>
        <w:shd w:val="clear" w:fill="1B2A4A"/>
        <w:spacing w:before="0" w:after="0" w:line="360" w:lineRule="auto"/>
      </w:pPr>
    </w:p>
    <w:p>
      <w:pPr>
        <w:shd w:val="clear" w:fill="1B2A4A"/>
        <w:spacing w:before="0" w:after="240"/>
        <w:jc w:val="center"/>
      </w:pPr>
      <w:r>
        <w:rPr>
          <w:color w:val="D4AF37"/>
          <w:sz w:val="28"/>
          <w:shd w:val="clear" w:fill="1B2A4A"/>
        </w:rPr>
        <w:t xml:space="preserve">━━━━━━━━━━</w:t>
      </w:r>
    </w:p>
    <w:p>
      <w:pPr>
        <w:shd w:val="clear" w:fill="1B2A4A"/>
        <w:spacing w:before="0" w:after="0" w:line="240" w:lineRule="auto"/>
      </w:pPr>
    </w:p>
    <w:p>
      <w:pPr>
        <w:shd w:val="clear" w:fill="1B2A4A"/>
        <w:spacing w:before="120" w:after="240"/>
        <w:jc w:val="center"/>
      </w:pPr>
      <w:r>
        <w:rPr>
          <w:rFonts w:ascii="Georgia" w:hAnsi="Georgia" w:eastAsia="Georgia"/>
          <w:b/>
          <w:color w:val="D4AF37"/>
          <w:sz w:val="28"/>
          <w:shd w:val="clear" w:fill="1B2A4A"/>
        </w:rPr>
        <w:t xml:space="preserve">KEY HIGHLIGHTS</w:t>
      </w:r>
    </w:p>
    <w:p>
      <w:pPr>
        <w:shd w:val="clear" w:fill="1B2A4A"/>
        <w:spacing w:before="120" w:after="120"/>
        <w:jc w:val="center"/>
      </w:pPr>
      <w:r>
        <w:rPr>
          <w:rFonts w:ascii="Georgia" w:hAnsi="Georgia" w:eastAsia="Georgia"/>
          <w:b/>
          <w:color w:val="FFFFFF"/>
          <w:sz w:val="32"/>
          <w:shd w:val="clear" w:fill="1B2A4A"/>
        </w:rPr>
        <w:t xml:space="preserve">$4.2B Revenue</w:t>
      </w:r>
    </w:p>
    <w:p>
      <w:pPr>
        <w:shd w:val="clear" w:fill="1B2A4A"/>
        <w:spacing w:before="120" w:after="120"/>
        <w:jc w:val="center"/>
      </w:pPr>
      <w:r>
        <w:rPr>
          <w:rFonts w:ascii="Georgia" w:hAnsi="Georgia" w:eastAsia="Georgia"/>
          <w:b/>
          <w:color w:val="FFFFFF"/>
          <w:sz w:val="32"/>
          <w:shd w:val="clear" w:fill="1B2A4A"/>
        </w:rPr>
        <w:t xml:space="preserve">18.5% YoY Growth</w:t>
      </w:r>
    </w:p>
    <w:p>
      <w:pPr>
        <w:shd w:val="clear" w:fill="1B2A4A"/>
        <w:spacing w:before="120" w:after="120"/>
        <w:jc w:val="center"/>
      </w:pPr>
      <w:r>
        <w:rPr>
          <w:rFonts w:ascii="Georgia" w:hAnsi="Georgia" w:eastAsia="Georgia"/>
          <w:b/>
          <w:color w:val="FFFFFF"/>
          <w:sz w:val="32"/>
          <w:shd w:val="clear" w:fill="1B2A4A"/>
        </w:rPr>
        <w:t xml:space="preserve">12,000+ Employees Worldwide</w:t>
      </w:r>
    </w:p>
    <w:p>
      <w:pPr>
        <w:shd w:val="clear" w:fill="1B2A4A"/>
        <w:spacing w:before="0" w:after="0" w:line="360" w:lineRule="auto"/>
      </w:pPr>
    </w:p>
    <w:p>
      <w:pPr>
        <w:shd w:val="clear" w:fill="1B2A4A"/>
        <w:spacing w:before="0" w:after="0" w:line="360" w:lineRule="auto"/>
      </w:pPr>
    </w:p>
    <w:p>
      <w:pPr>
        <w:shd w:val="clear" w:fill="1B2A4A"/>
        <w:spacing w:before="0" w:after="0" w:line="360" w:lineRule="auto"/>
      </w:pPr>
    </w:p>
    <w:p>
      <w:pPr>
        <w:shd w:val="clear" w:fill="1B2A4A"/>
        <w:spacing w:before="0" w:after="0" w:line="360" w:lineRule="auto"/>
      </w:pPr>
    </w:p>
    <w:p>
      <w:r>
        <w:br w:type="page"/>
      </w:r>
    </w:p>
    <w:p>
      <w:pPr>
        <w:pStyle w:val="TOCHeading"/>
      </w:pPr>
      <w:r>
        <w:t>Table of Contents</w:t>
      </w:r>
    </w:p>
    <w:p>
      <w:r>
        <w:fldChar w:fldCharType="begin"/>
      </w:r>
      <w:r>
        <w:instrText xml:space="preserve"> TOC \o "1-3" \h \u </w:instrText>
      </w:r>
      <w:r>
        <w:fldChar w:fldCharType="separate"/>
      </w:r>
      <w:r>
        <w:t xml:space="preserve">Update field to see table of contents</w:t>
      </w:r>
      <w:r>
        <w:fldChar w:fldCharType="end"/>
      </w:r>
    </w:p>
    <w:p>
      <w:r>
        <w:br w:type="page"/>
      </w:r>
    </w:p>
    <w:p>
      <w:pPr>
        <w:pStyle w:val="Heading1"/>
        <w:spacing w:before="480" w:after="160"/>
        <w:rPr>
          <w:sz w:val="40"/>
        </w:rPr>
      </w:pPr>
      <w:r>
        <w:rPr>
          <w:rFonts w:ascii="Georgia" w:hAnsi="Georgia" w:eastAsia="Georgia"/>
          <w:color w:val="1B2A4A"/>
          <w:sz w:val="40"/>
        </w:rPr>
        <w:t xml:space="preserve">CEO Message</w:t>
      </w:r>
    </w:p>
    <w:p>
      <w:pPr>
        <w:spacing w:after="120" w:line="276" w:lineRule="auto"/>
      </w:pPr>
      <w:r>
        <w:rPr>
          <w:rFonts w:ascii="Calibri" w:hAnsi="Calibri" w:eastAsia="Calibri"/>
          <w:sz w:val="22"/>
        </w:rPr>
        <w:t xml:space="preserve">Dear Shareholders and Partners,</w:t>
      </w:r>
    </w:p>
    <w:p>
      <w:pPr>
        <w:spacing w:after="120" w:line="276" w:lineRule="auto"/>
      </w:pPr>
      <w:r>
        <w:rPr>
          <w:rFonts w:ascii="Calibri" w:hAnsi="Calibri" w:eastAsia="Calibri"/>
          <w:sz w:val="22"/>
        </w:rPr>
        <w:t xml:space="preserve">The year 2025 has been a transformative period for TechVision Corp. We achieved record-breaking revenue of $2.8 billion, representing a 23% year-over-year growth. Our strategic investments in artificial intelligence, cloud computing, and enterprise solutions have positioned us as a market leader in the technology sector.</w:t>
      </w:r>
    </w:p>
    <w:p>
      <w:pPr>
        <w:spacing w:after="120" w:line="276" w:lineRule="auto"/>
      </w:pPr>
      <w:r>
        <w:rPr>
          <w:rFonts w:ascii="Calibri" w:hAnsi="Calibri" w:eastAsia="Calibri"/>
          <w:sz w:val="22"/>
        </w:rPr>
        <w:t xml:space="preserve">Our commitment to innovation, combined with disciplined execution across all business units, has enabled us to deliver exceptional value to our customers and shareholders alike. We expanded into 12 new markets, grew our workforce by 18%, and maintained industry-leading customer satisfaction scores above 95%.</w:t>
      </w:r>
    </w:p>
    <w:p>
      <w:pPr>
        <w:spacing w:after="240" w:line="276" w:lineRule="auto"/>
      </w:pPr>
      <w:r>
        <w:rPr>
          <w:rFonts w:ascii="Calibri" w:hAnsi="Calibri" w:eastAsia="Calibri"/>
          <w:sz w:val="22"/>
        </w:rPr>
        <w:t xml:space="preserve">Looking ahead, we remain focused on sustainable growth, operational excellence, and technological leadership. I am confident that TechVision Corp is well-positioned to capitalize on emerging opportunities and deliver long-term value.</w:t>
      </w:r>
    </w:p>
    <w:p>
      <w:pPr>
        <w:spacing w:after="0"/>
      </w:pPr>
      <w:r>
        <w:rPr>
          <w:rFonts w:ascii="Calibri" w:hAnsi="Calibri" w:eastAsia="Calibri"/>
          <w:i/>
          <w:color w:val="1B2A4A"/>
          <w:sz w:val="22"/>
        </w:rPr>
        <w:t xml:space="preserve">James Mitchell</w:t>
      </w:r>
    </w:p>
    <w:p>
      <w:pPr>
        <w:spacing w:after="240"/>
      </w:pPr>
      <w:r>
        <w:rPr>
          <w:rFonts w:ascii="Calibri" w:hAnsi="Calibri" w:eastAsia="Calibri"/>
          <w:i/>
          <w:color w:val="666666"/>
          <w:sz w:val="20"/>
        </w:rPr>
        <w:t xml:space="preserve">Chief Executive Officer, TechVision Corp</w:t>
      </w:r>
    </w:p>
    <w:p>
      <w:r>
        <w:br w:type="page"/>
      </w:r>
    </w:p>
    <w:p>
      <w:pPr>
        <w:pStyle w:val="Heading1"/>
        <w:spacing w:before="480" w:after="160"/>
        <w:rPr>
          <w:sz w:val="40"/>
        </w:rPr>
      </w:pPr>
      <w:r>
        <w:rPr>
          <w:rFonts w:ascii="Georgia" w:hAnsi="Georgia" w:eastAsia="Georgia"/>
          <w:color w:val="1B2A4A"/>
          <w:sz w:val="40"/>
        </w:rPr>
        <w:t xml:space="preserve">Financial Summary</w:t>
      </w:r>
    </w:p>
    <w:p>
      <w:pPr>
        <w:spacing w:after="240" w:line="276" w:lineRule="auto"/>
      </w:pPr>
      <w:r>
        <w:rPr>
          <w:rFonts w:ascii="Calibri" w:hAnsi="Calibri" w:eastAsia="Calibri"/>
          <w:sz w:val="22"/>
        </w:rPr>
        <w:t xml:space="preserve">The following table presents key financial metrics for fiscal years 2024 and 2025:</w:t>
      </w:r>
      <w:r>
        <w:rPr>
          <w:rStyle w:val="FootnoteReference"/>
        </w:rPr>
        <w:footnoteReference w:id="1"/>
      </w:r>
    </w:p>
    <w:tbl>
      <w:tblPr>
        <w:tblW w:w="5000" w:type="pct"/>
        <w:jc w:val="center"/>
        <w:tblBorders>
          <w:top w:val="single" w:color="CCCCCC" w:sz="4" w:space="0"/>
          <w:left w:val="single" w:color="CCCCCC" w:sz="4" w:space="0"/>
          <w:bottom w:val="single" w:color="CCCCCC" w:sz="4" w:space="0"/>
          <w:right w:val="single" w:color="CCCCCC" w:sz="4" w:space="0"/>
          <w:insideH w:val="single" w:color="CCCCCC" w:sz="4" w:space="0"/>
          <w:insideV w:val="single" w:color="CCCCCC" w:sz="4" w:space="0"/>
        </w:tblBorders>
      </w:tblPr>
      <w:tblGrid>
        <w:gridCol w:w="2400"/>
        <w:gridCol w:w="2400"/>
        <w:gridCol w:w="2400"/>
        <w:gridCol w:w="2400"/>
      </w:tblGrid>
      <w:tr>
        <w:trPr/>
        <w:tc>
          <w:tcPr>
            <w:shd w:val="clear" w:fill="1B2A4A"/>
          </w:tcPr>
          <w:p>
            <w:pPr>
              <w:spacing w:after="0" w:line="240" w:lineRule="auto"/>
            </w:pPr>
            <w:r>
              <w:rPr>
                <w:rFonts w:ascii="Calibri" w:hAnsi="Calibri" w:eastAsia="Calibri"/>
                <w:b/>
                <w:color w:val="FFFFFF"/>
                <w:sz w:val="20"/>
              </w:rPr>
              <w:t xml:space="preserve">Metric</w:t>
            </w:r>
          </w:p>
        </w:tc>
        <w:tc>
          <w:tcPr>
            <w:shd w:val="clear" w:fill="1B2A4A"/>
          </w:tcPr>
          <w:p>
            <w:pPr>
              <w:spacing w:after="0" w:line="240" w:lineRule="auto"/>
              <w:jc w:val="center"/>
            </w:pPr>
            <w:r>
              <w:rPr>
                <w:rFonts w:ascii="Calibri" w:hAnsi="Calibri" w:eastAsia="Calibri"/>
                <w:b/>
                <w:color w:val="FFFFFF"/>
                <w:sz w:val="20"/>
              </w:rPr>
              <w:t xml:space="preserve">FY 2024</w:t>
            </w:r>
          </w:p>
        </w:tc>
        <w:tc>
          <w:tcPr>
            <w:shd w:val="clear" w:fill="1B2A4A"/>
          </w:tcPr>
          <w:p>
            <w:pPr>
              <w:spacing w:after="0" w:line="240" w:lineRule="auto"/>
              <w:jc w:val="center"/>
            </w:pPr>
            <w:r>
              <w:rPr>
                <w:rFonts w:ascii="Calibri" w:hAnsi="Calibri" w:eastAsia="Calibri"/>
                <w:b/>
                <w:color w:val="FFFFFF"/>
                <w:sz w:val="20"/>
              </w:rPr>
              <w:t xml:space="preserve">FY 2025</w:t>
            </w:r>
          </w:p>
        </w:tc>
        <w:tc>
          <w:tcPr>
            <w:shd w:val="clear" w:fill="1B2A4A"/>
          </w:tcPr>
          <w:p>
            <w:pPr>
              <w:spacing w:after="0" w:line="240" w:lineRule="auto"/>
              <w:jc w:val="center"/>
            </w:pPr>
            <w:r>
              <w:rPr>
                <w:rFonts w:ascii="Calibri" w:hAnsi="Calibri" w:eastAsia="Calibri"/>
                <w:b/>
                <w:color w:val="FFFFFF"/>
                <w:sz w:val="20"/>
              </w:rPr>
              <w:t xml:space="preserve">Change</w:t>
            </w:r>
          </w:p>
        </w:tc>
      </w:tr>
      <w:tr>
        <w:trPr/>
        <w:tc>
          <w:p>
            <w:pPr>
              <w:spacing w:after="0" w:line="240" w:lineRule="auto"/>
            </w:pPr>
            <w:r>
              <w:t xml:space="preserve">Revenue</w:t>
            </w:r>
          </w:p>
        </w:tc>
        <w:tc>
          <w:tcPr/>
          <w:p>
            <w:pPr>
              <w:spacing w:after="0" w:line="240" w:lineRule="auto"/>
              <w:jc w:val="center"/>
            </w:pPr>
            <w:r>
              <w:t xml:space="preserve">$2.28B</w:t>
            </w:r>
          </w:p>
        </w:tc>
        <w:tc>
          <w:tcPr/>
          <w:p>
            <w:pPr>
              <w:spacing w:after="0" w:line="240" w:lineRule="auto"/>
              <w:jc w:val="center"/>
            </w:pPr>
            <w:r>
              <w:t xml:space="preserve">$2.80B</w:t>
            </w:r>
          </w:p>
        </w:tc>
        <w:tc>
          <w:tcPr/>
          <w:p>
            <w:pPr>
              <w:spacing w:after="0" w:line="240" w:lineRule="auto"/>
              <w:jc w:val="center"/>
            </w:pPr>
            <w:r>
              <w:rPr>
                <w:color w:val="2E7D32"/>
              </w:rPr>
              <w:t xml:space="preserve">+22.8%</w:t>
            </w:r>
          </w:p>
        </w:tc>
      </w:tr>
      <w:tr>
        <w:trPr/>
        <w:tc>
          <w:tcPr>
            <w:shd w:val="clear" w:fill="F2F2F2"/>
          </w:tcPr>
          <w:p>
            <w:pPr>
              <w:spacing w:after="0" w:line="240" w:lineRule="auto"/>
            </w:pPr>
            <w:r>
              <w:t xml:space="preserve">Net Income</w:t>
            </w:r>
          </w:p>
        </w:tc>
        <w:tc>
          <w:tcPr>
            <w:shd w:val="clear" w:fill="F2F2F2"/>
          </w:tcPr>
          <w:p>
            <w:pPr>
              <w:spacing w:after="0" w:line="240" w:lineRule="auto"/>
              <w:jc w:val="center"/>
            </w:pPr>
            <w:r>
              <w:t xml:space="preserve">$412M</w:t>
            </w:r>
          </w:p>
        </w:tc>
        <w:tc>
          <w:tcPr>
            <w:shd w:val="clear" w:fill="F2F2F2"/>
          </w:tcPr>
          <w:p>
            <w:pPr>
              <w:spacing w:after="0" w:line="240" w:lineRule="auto"/>
              <w:jc w:val="center"/>
            </w:pPr>
            <w:r>
              <w:t xml:space="preserve">$538M</w:t>
            </w:r>
          </w:p>
        </w:tc>
        <w:tc>
          <w:tcPr>
            <w:shd w:val="clear" w:fill="F2F2F2"/>
          </w:tcPr>
          <w:p>
            <w:pPr>
              <w:spacing w:after="0" w:line="240" w:lineRule="auto"/>
              <w:jc w:val="center"/>
            </w:pPr>
            <w:r>
              <w:rPr>
                <w:color w:val="2E7D32"/>
              </w:rPr>
              <w:t xml:space="preserve">+30.6%</w:t>
            </w:r>
          </w:p>
        </w:tc>
      </w:tr>
      <w:tr>
        <w:trPr/>
        <w:tc>
          <w:p>
            <w:pPr>
              <w:spacing w:after="0" w:line="240" w:lineRule="auto"/>
            </w:pPr>
            <w:r>
              <w:t xml:space="preserve">Operating Margin</w:t>
            </w:r>
          </w:p>
        </w:tc>
        <w:tc>
          <w:tcPr/>
          <w:p>
            <w:pPr>
              <w:spacing w:after="0" w:line="240" w:lineRule="auto"/>
              <w:jc w:val="center"/>
            </w:pPr>
            <w:r>
              <w:t xml:space="preserve">18.1%</w:t>
            </w:r>
          </w:p>
        </w:tc>
        <w:tc>
          <w:tcPr/>
          <w:p>
            <w:pPr>
              <w:spacing w:after="0" w:line="240" w:lineRule="auto"/>
              <w:jc w:val="center"/>
            </w:pPr>
            <w:r>
              <w:t xml:space="preserve">19.2%</w:t>
            </w:r>
          </w:p>
        </w:tc>
        <w:tc>
          <w:tcPr/>
          <w:p>
            <w:pPr>
              <w:spacing w:after="0" w:line="240" w:lineRule="auto"/>
              <w:jc w:val="center"/>
            </w:pPr>
            <w:r>
              <w:rPr>
                <w:color w:val="2E7D32"/>
              </w:rPr>
              <w:t xml:space="preserve">+1.1pp</w:t>
            </w:r>
          </w:p>
        </w:tc>
      </w:tr>
      <w:tr>
        <w:trPr/>
        <w:tc>
          <w:tcPr>
            <w:shd w:val="clear" w:fill="F2F2F2"/>
          </w:tcPr>
          <w:p>
            <w:pPr>
              <w:spacing w:after="0" w:line="240" w:lineRule="auto"/>
            </w:pPr>
            <w:r>
              <w:t xml:space="preserve">Earnings Per Share</w:t>
            </w:r>
          </w:p>
        </w:tc>
        <w:tc>
          <w:tcPr>
            <w:shd w:val="clear" w:fill="F2F2F2"/>
          </w:tcPr>
          <w:p>
            <w:pPr>
              <w:spacing w:after="0" w:line="240" w:lineRule="auto"/>
              <w:jc w:val="center"/>
            </w:pPr>
            <w:r>
              <w:t xml:space="preserve">$4.12</w:t>
            </w:r>
          </w:p>
        </w:tc>
        <w:tc>
          <w:tcPr>
            <w:shd w:val="clear" w:fill="F2F2F2"/>
          </w:tcPr>
          <w:p>
            <w:pPr>
              <w:spacing w:after="0" w:line="240" w:lineRule="auto"/>
              <w:jc w:val="center"/>
            </w:pPr>
            <w:r>
              <w:t xml:space="preserve">$5.38</w:t>
            </w:r>
          </w:p>
        </w:tc>
        <w:tc>
          <w:tcPr>
            <w:shd w:val="clear" w:fill="F2F2F2"/>
          </w:tcPr>
          <w:p>
            <w:pPr>
              <w:spacing w:after="0" w:line="240" w:lineRule="auto"/>
              <w:jc w:val="center"/>
            </w:pPr>
            <w:r>
              <w:rPr>
                <w:color w:val="2E7D32"/>
              </w:rPr>
              <w:t xml:space="preserve">+30.6%</w:t>
            </w:r>
          </w:p>
        </w:tc>
      </w:tr>
      <w:tr>
        <w:trPr/>
        <w:tc>
          <w:p>
            <w:pPr>
              <w:spacing w:after="0" w:line="240" w:lineRule="auto"/>
            </w:pPr>
            <w:r>
              <w:t xml:space="preserve">R&amp;D Investment</w:t>
            </w:r>
          </w:p>
        </w:tc>
        <w:tc>
          <w:tcPr/>
          <w:p>
            <w:pPr>
              <w:spacing w:after="0" w:line="240" w:lineRule="auto"/>
              <w:jc w:val="center"/>
            </w:pPr>
            <w:r>
              <w:t xml:space="preserve">$680M</w:t>
            </w:r>
          </w:p>
        </w:tc>
        <w:tc>
          <w:tcPr/>
          <w:p>
            <w:pPr>
              <w:spacing w:after="0" w:line="240" w:lineRule="auto"/>
              <w:jc w:val="center"/>
            </w:pPr>
            <w:r>
              <w:t xml:space="preserve">$820M</w:t>
            </w:r>
          </w:p>
        </w:tc>
        <w:tc>
          <w:tcPr/>
          <w:p>
            <w:pPr>
              <w:spacing w:after="0" w:line="240" w:lineRule="auto"/>
              <w:jc w:val="center"/>
            </w:pPr>
            <w:r>
              <w:rPr>
                <w:color w:val="2E7D32"/>
              </w:rPr>
              <w:t xml:space="preserve">+20.6%</w:t>
            </w:r>
          </w:p>
        </w:tc>
      </w:tr>
    </w:tbl>
    <w:p>
      <w:r>
        <w:br w:type="page"/>
      </w:r>
    </w:p>
    <w:p>
      <w:pPr>
        <w:pStyle w:val="Heading1"/>
        <w:spacing w:before="480" w:after="160"/>
        <w:rPr>
          <w:sz w:val="40"/>
        </w:rPr>
      </w:pPr>
      <w:r>
        <w:rPr>
          <w:rFonts w:ascii="Georgia" w:hAnsi="Georgia" w:eastAsia="Georgia"/>
          <w:color w:val="1B2A4A"/>
          <w:sz w:val="40"/>
        </w:rPr>
        <w:t xml:space="preserve">Business Analysis</w:t>
      </w:r>
    </w:p>
    <w:p>
      <w:pPr>
        <w:spacing w:after="240" w:line="276" w:lineRule="auto"/>
      </w:pPr>
      <w:r>
        <w:rPr>
          <w:rFonts w:ascii="Calibri" w:hAnsi="Calibri" w:eastAsia="Calibri"/>
          <w:sz w:val="22"/>
        </w:rPr>
        <w:t xml:space="preserve">Quarterly revenue performance demonstrates consistent growth throughout 2025, with particularly strong results in Q3 and Q4 driven by enterprise cloud adoption and AI product launches.</w:t>
      </w:r>
    </w:p>
    <w:p>
      <w:r>
        <w:drawing>
          <wp:inline xmlns:wp="http://schemas.openxmlformats.org/drawingml/2006/wordprocessingDrawing" distT="0" distB="0" distL="0" distR="0">
            <wp:extent cx="5400000" cy="3240000"/>
            <wp:effectExtent l="0" t="0" r="0" b="0"/>
            <wp:docPr id="1" name="Quarterly Revenue Trend (Millions USD)"/>
            <wp:cNvGraphicFramePr/>
            <a:graphic xmlns:a="http://schemas.openxmlformats.org/drawingml/2006/main">
              <a:graphicData uri="http://schemas.openxmlformats.org/drawingml/2006/chart">
                <c:chart xmlns:r="http://schemas.openxmlformats.org/officeDocument/2006/relationships" xmlns:c="http://schemas.openxmlformats.org/drawingml/2006/chart" r:id="R3222bf701b14424a"/>
              </a:graphicData>
            </a:graphic>
          </wp:inline>
        </w:drawing>
      </w:r>
    </w:p>
    <w:p>
      <w:r>
        <w:br w:type="page"/>
      </w:r>
    </w:p>
    <w:p>
      <w:pPr>
        <w:pStyle w:val="Heading1"/>
        <w:spacing w:before="480" w:after="160"/>
        <w:rPr>
          <w:sz w:val="40"/>
        </w:rPr>
      </w:pPr>
      <w:r>
        <w:rPr>
          <w:rFonts w:ascii="Georgia" w:hAnsi="Georgia" w:eastAsia="Georgia"/>
          <w:color w:val="1B2A4A"/>
          <w:sz w:val="40"/>
        </w:rPr>
        <w:t xml:space="preserve">Strategic Outlook</w:t>
      </w:r>
    </w:p>
    <w:p>
      <w:pPr>
        <w:spacing w:after="160" w:line="276" w:lineRule="auto"/>
      </w:pPr>
      <w:r>
        <w:rPr>
          <w:rFonts w:ascii="Calibri" w:hAnsi="Calibri" w:eastAsia="Calibri"/>
          <w:sz w:val="22"/>
        </w:rPr>
        <w:t xml:space="preserve">As we enter 2026, TechVision Corp will focus on three core strategic priorities to drive sustained growth and market leadership:</w:t>
      </w:r>
    </w:p>
    <w:p>
      <w:pPr>
        <w:numPr>
          <w:ilvl w:val="0"/>
          <w:numId w:val="1"/>
        </w:numPr>
        <w:spacing w:after="120" w:line="276" w:lineRule="auto"/>
      </w:pPr>
      <w:r>
        <w:rPr>
          <w:rFonts w:ascii="Calibri" w:hAnsi="Calibri" w:eastAsia="Calibri"/>
          <w:sz w:val="22"/>
        </w:rPr>
        <w:t xml:space="preserve">AI-First Product Strategy — Accelerate integration of generative AI and machine learning capabilities across our entire product portfolio, targeting 40% of revenue from AI-powered solutions by 2027.</w:t>
      </w:r>
    </w:p>
    <w:p>
      <w:pPr>
        <w:numPr>
          <w:ilvl w:val="0"/>
          <w:numId w:val="1"/>
        </w:numPr>
        <w:spacing w:after="120" w:line="276" w:lineRule="auto"/>
      </w:pPr>
      <w:r>
        <w:rPr>
          <w:rFonts w:ascii="Calibri" w:hAnsi="Calibri" w:eastAsia="Calibri"/>
          <w:sz w:val="22"/>
        </w:rPr>
        <w:t xml:space="preserve">Global Market Expansion — Establish presence in 20 additional international markets with localized solutions, strategic partnerships, and dedicated regional support teams to capture the growing demand in emerging economies.</w:t>
      </w:r>
    </w:p>
    <w:p>
      <w:pPr>
        <w:numPr>
          <w:ilvl w:val="0"/>
          <w:numId w:val="1"/>
        </w:numPr>
        <w:spacing w:after="240" w:line="276" w:lineRule="auto"/>
      </w:pPr>
      <w:r>
        <w:rPr>
          <w:rFonts w:ascii="Calibri" w:hAnsi="Calibri" w:eastAsia="Calibri"/>
          <w:sz w:val="22"/>
        </w:rPr>
        <w:t xml:space="preserve">Sustainable Innovation &amp; ESG Commitment — Achieve carbon neutrality in all operations by 2028, invest $200M in green technology R&amp;D, and strengthen our governance framework to align with global sustainability standards.</w:t>
      </w:r>
    </w:p>
    <w:p>
      <w:pPr>
        <w:spacing w:after="240" w:line="276" w:lineRule="auto"/>
      </w:pPr>
      <w:r>
        <w:rPr>
          <w:rFonts w:ascii="Calibri" w:hAnsi="Calibri" w:eastAsia="Calibri"/>
          <w:sz w:val="22"/>
        </w:rPr>
        <w:t xml:space="preserve">These strategic pillars are supported by a robust capital allocation plan and a world-class leadership team committed to delivering excellence across every dimension of our business.</w:t>
      </w:r>
    </w:p>
    <w:sectPr>
      <w:headerReference xmlns:r="http://schemas.openxmlformats.org/officeDocument/2006/relationships" w:type="even" r:id="R37c72041b16d47a3"/>
      <w:headerReference xmlns:r="http://schemas.openxmlformats.org/officeDocument/2006/relationships" w:type="first" r:id="R41efcc5646f44553"/>
      <w:headerReference xmlns:r="http://schemas.openxmlformats.org/officeDocument/2006/relationships" w:type="default" r:id="Reeac1527d5d24e43"/>
    </w:sectPr>
  </w:body>
</w:document>
</file>

<file path=word/footer1.xml><?xml version="1.0" encoding="utf-8"?>
<w:ftr xmlns:w="http://schemas.openxmlformats.org/wordprocessingml/2006/main">
  <w:p>
    <w:pPr>
      <w:jc w:val="center"/>
      <w:rPr>
        <w:rFonts w:ascii="Calibri" w:hAnsi="Calibri" w:eastAsia="Calibri"/>
        <w:sz w:val="18"/>
        <w:color w:val="999999"/>
      </w:rPr>
    </w:pPr>
    <w:r>
      <w:rPr>
        <w:rFonts w:ascii="Calibri" w:hAnsi="Calibri" w:eastAsia="Calibri"/>
        <w:sz w:val="18"/>
        <w:color w:val="999999"/>
      </w:rPr>
      <w:fldChar w:fldCharType="begin"/>
    </w:r>
    <w:r>
      <w:rPr>
        <w:rFonts w:ascii="Calibri" w:hAnsi="Calibri" w:eastAsia="Calibri"/>
        <w:sz w:val="18"/>
        <w:color w:val="999999"/>
      </w:rPr>
      <w:instrText xml:space="preserve"> PAGE </w:instrText>
    </w:r>
    <w:r>
      <w:rPr>
        <w:rFonts w:ascii="Calibri" w:hAnsi="Calibri" w:eastAsia="Calibri"/>
        <w:sz w:val="18"/>
        <w:color w:val="999999"/>
      </w:rPr>
      <w:fldChar w:fldCharType="separate"/>
    </w:r>
    <w:r>
      <w:rPr>
        <w:rFonts w:ascii="Calibri" w:hAnsi="Calibri" w:eastAsia="Calibri"/>
        <w:sz w:val="18"/>
        <w:color w:val="999999"/>
      </w:rPr>
      <w:t xml:space="preserve">1</w:t>
    </w:r>
    <w:r>
      <w:rPr>
        <w:rFonts w:ascii="Calibri" w:hAnsi="Calibri" w:eastAsia="Calibri"/>
        <w:sz w:val="18"/>
        <w:color w:val="999999"/>
      </w:rPr>
      <w:fldChar w:fldCharType="end"/>
    </w:r>
  </w:p>
</w:ftr>
</file>

<file path=word/footnotes.xml><?xml version="1.0" encoding="utf-8"?>
<w:footnotes xmlns:w="http://schemas.openxmlformats.org/wordprocessingml/2006/main">
  <w:footnote w:type="separator" w:id="-1">
    <w:p>
      <w:r>
        <w:t/>
      </w:r>
    </w:p>
  </w:footnote>
  <w:footnote w:type="continuationSeparator" w:id="0">
    <w:p>
      <w:r>
        <w:t/>
      </w:r>
    </w:p>
  </w:footnote>
  <w:footnote w:id="1">
    <w:p>
      <w:pPr>
        <w:pStyle w:val="FootnoteText"/>
      </w:pPr>
      <w:r>
        <w:rPr>
          <w:vertAlign w:val="superscript"/>
        </w:rPr>
        <w:footnoteRef/>
      </w:r>
      <w:r>
        <w:t xml:space="preserve"> All financial data sourced from TechVision Corp audited financial statements for FY2024 and FY2025. Figures are reported in accordance with GAAP standards.</w:t>
      </w:r>
    </w:p>
  </w:footnote>
</w:footnotes>
</file>

<file path=word/header1.xml><?xml version="1.0" encoding="utf-8"?>
<w:hdr xmlns:w="http://schemas.openxmlformats.org/wordprocessingml/2006/main">
  <w:p>
    <w:pPr>
      <w:jc w:val="left"/>
    </w:pPr>
    <w:r>
      <w:rPr>
        <w:rFonts w:ascii="Calibri" w:hAnsi="Calibri" w:eastAsia="Calibri"/>
        <w:color w:val="999999"/>
        <w:sz w:val="18"/>
      </w:rPr>
      <w:t xml:space="preserve">TechVision Corp — Annual Report 2025</w:t>
    </w:r>
  </w:p>
</w:hdr>
</file>

<file path=word/header2.xml><?xml version="1.0" encoding="utf-8"?>
<w:hdr xmlns:v="urn:schemas-microsoft-com:vml" xmlns:o="urn:schemas-microsoft-com:office:office" xmlns:w="http://schemas.openxmlformats.org/wordprocessingml/2006/main" xmlns:r="http://schemas.openxmlformats.org/officeDocument/2006/relationships" xmlns:w10="urn:schemas-microsoft-com:office:word">
  <w:sdt>
    <w:sdtPr>
      <w:id w:val="-1001"/>
      <w:docPartObj>
        <w:docPartGallery w:val="Watermarks"/>
        <w:docPartUnique/>
      </w:docPartObj>
    </w:sdtPr>
    <w:sdtContent>
      <w:p>
        <w:pPr>
          <w:pStyle w:val="Header"/>
        </w:pPr>
        <w:r>
          <w:rPr>
            <w:noProof/>
          </w:rPr>
          <w:pict>
            <v:shapetype xmlns:v="urn:schemas-microsoft-com:vml" xmlns:o="urn:schemas-microsoft-com:office:office" id="_x0000_t136" coordsize="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xmlns:v="urn:schemas-microsoft-com:vml" xmlns:o="urn:schemas-microsoft-com:office:office" id="PowerPlusWaterMarkObject1" style="position:absolute;margin-left:0;margin-top:0;width:415pt;height:207.5pt;rotation:315;z-index:-251654144;mso-wrap-edited:f;mso-position-horizontal:center;mso-position-horizontal-relative:margin;mso-position-vertical:center;mso-position-vertical-relative:margin" o:spid="_x0000_s1025" o:allowincell="f" fillcolor="C0C0C0" stroked="f" type="#_x0000_t136">
              <v:fill opacity="0.3"/>
              <v:textpath style="font-family:&quot;Calibri&quot;;font-size:1pt" string="CONFIDENTIAL"/>
            </v:shape>
          </w:pict>
        </w:r>
      </w:p>
    </w:sdtContent>
  </w:sdt>
</w:hdr>
</file>

<file path=word/header3.xml><?xml version="1.0" encoding="utf-8"?>
<w:hdr xmlns:v="urn:schemas-microsoft-com:vml" xmlns:o="urn:schemas-microsoft-com:office:office" xmlns:w="http://schemas.openxmlformats.org/wordprocessingml/2006/main" xmlns:r="http://schemas.openxmlformats.org/officeDocument/2006/relationships" xmlns:w10="urn:schemas-microsoft-com:office:word">
  <w:sdt>
    <w:sdtPr>
      <w:id w:val="-1002"/>
      <w:docPartObj>
        <w:docPartGallery w:val="Watermarks"/>
        <w:docPartUnique/>
      </w:docPartObj>
    </w:sdtPr>
    <w:sdtContent>
      <w:p>
        <w:pPr>
          <w:pStyle w:val="Header"/>
        </w:pPr>
        <w:r>
          <w:rPr>
            <w:noProof/>
          </w:rPr>
          <w:pict>
            <v:shapetype xmlns:v="urn:schemas-microsoft-com:vml" xmlns:o="urn:schemas-microsoft-com:office:office" id="_x0000_t136" coordsize="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xmlns:v="urn:schemas-microsoft-com:vml" xmlns:o="urn:schemas-microsoft-com:office:office" id="PowerPlusWaterMarkObject2" style="position:absolute;margin-left:0;margin-top:0;width:415pt;height:207.5pt;rotation:315;z-index:-251654144;mso-wrap-edited:f;mso-position-horizontal:center;mso-position-horizontal-relative:margin;mso-position-vertical:center;mso-position-vertical-relative:margin" o:spid="_x0000_s1026" o:allowincell="f" fillcolor="C0C0C0" stroked="f" type="#_x0000_t136">
              <v:fill opacity="0.3"/>
              <v:textpath style="font-family:&quot;Calibri&quot;;font-size:1pt" string="CONFIDENTIAL"/>
            </v:shape>
          </w:pict>
        </w:r>
      </w:p>
    </w:sdtContent>
  </w:sdt>
</w:hdr>
</file>

<file path=word/header4.xml><?xml version="1.0" encoding="utf-8"?>
<w:hdr xmlns:v="urn:schemas-microsoft-com:vml" xmlns:o="urn:schemas-microsoft-com:office:office" xmlns:w="http://schemas.openxmlformats.org/wordprocessingml/2006/main" xmlns:r="http://schemas.openxmlformats.org/officeDocument/2006/relationships" xmlns:w10="urn:schemas-microsoft-com:office:word">
  <w:sdt>
    <w:sdtPr>
      <w:id w:val="-1003"/>
      <w:docPartObj>
        <w:docPartGallery w:val="Watermarks"/>
        <w:docPartUnique/>
      </w:docPartObj>
    </w:sdtPr>
    <w:sdtContent>
      <w:p>
        <w:pPr>
          <w:pStyle w:val="Header"/>
        </w:pPr>
        <w:r>
          <w:rPr>
            <w:noProof/>
          </w:rPr>
          <w:pict>
            <v:shapetype xmlns:v="urn:schemas-microsoft-com:vml" xmlns:o="urn:schemas-microsoft-com:office:office" id="_x0000_t136" coordsize="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xmlns:v="urn:schemas-microsoft-com:vml" xmlns:o="urn:schemas-microsoft-com:office:office" id="PowerPlusWaterMarkObject3" style="position:absolute;margin-left:0;margin-top:0;width:415pt;height:207.5pt;rotation:315;z-index:-251654144;mso-wrap-edited:f;mso-position-horizontal:center;mso-position-horizontal-relative:margin;mso-position-vertical:center;mso-position-vertical-relative:margin" o:spid="_x0000_s1027" o:allowincell="f" fillcolor="C0C0C0" stroked="f" type="#_x0000_t136">
              <v:fill opacity="0.3"/>
              <v:textpath style="font-family:&quot;Calibri&quot;;font-size:1pt" string="CONFIDENTIAL"/>
            </v:shape>
          </w:pict>
        </w:r>
      </w:p>
    </w:sdtContent>
  </w:sdt>
</w:hdr>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num w:numId="1">
    <w:abstractNumId w:val="0"/>
  </w:num>
</w:numbering>
</file>

<file path=word/settings.xml><?xml version="1.0" encoding="utf-8"?>
<w:settings xmlns:w="http://schemas.openxmlformats.org/wordprocessingml/2006/main">
  <w:updateFields w:val="true"/>
  <w:evenAndOddHeaders/>
  <w:titlePg/>
</w:settings>
</file>

<file path=word/_rels/document.xml.rels>&#65279;<?xml version="1.0" encoding="utf-8"?><Relationships xmlns="http://schemas.openxmlformats.org/package/2006/relationships"><Relationship Type="http://schemas.openxmlformats.org/officeDocument/2006/relationships/settings" Target="/word/settings.xml" Id="Re04625e9e7e54111" /><Relationship Type="http://schemas.openxmlformats.org/officeDocument/2006/relationships/footnotes" Target="/word/footnotes.xml" Id="R1223db0b435b45be" /><Relationship Type="http://schemas.openxmlformats.org/officeDocument/2006/relationships/chart" Target="/word/charts/chart1.xml" Id="R3222bf701b14424a" /><Relationship Type="http://schemas.openxmlformats.org/officeDocument/2006/relationships/numbering" Target="/word/numbering.xml" Id="R17a248984d5245a1" /><Relationship Type="http://schemas.openxmlformats.org/officeDocument/2006/relationships/header" Target="/word/header1.xml" Id="R960e881e422d420f" /><Relationship Type="http://schemas.openxmlformats.org/officeDocument/2006/relationships/footer" Target="/word/footer1.xml" Id="R968c60c2b9334e7d" /><Relationship Type="http://schemas.openxmlformats.org/officeDocument/2006/relationships/header" Target="/word/header2.xml" Id="Reeac1527d5d24e43" /><Relationship Type="http://schemas.openxmlformats.org/officeDocument/2006/relationships/header" Target="/word/header3.xml" Id="R41efcc5646f44553" /><Relationship Type="http://schemas.openxmlformats.org/officeDocument/2006/relationships/header" Target="/word/header4.xml" Id="R37c72041b16d47a3" /></Relationships>
</file>

<file path=word/charts/chart1.xml><?xml version="1.0" encoding="utf-8"?>
<c:chartSpace xmlns:c="http://schemas.openxmlformats.org/drawingml/2006/chart">
  <c:chart>
    <c:title>
      <c:tx>
        <c:rich>
          <a:bodyPr xmlns:a="http://schemas.openxmlformats.org/drawingml/2006/main"/>
          <a:lstStyle xmlns:a="http://schemas.openxmlformats.org/drawingml/2006/main"/>
          <a:p xmlns:a="http://schemas.openxmlformats.org/drawingml/2006/main">
            <a:pPr>
              <a:defRPr sz="1400" b="1"/>
            </a:pPr>
            <a:r>
              <a:rPr lang="en-US" sz="1400" b="1"/>
              <a:t>Quarterly Revenue Trend (Millions USD)</a:t>
            </a:r>
          </a:p>
        </c:rich>
      </c:tx>
      <c:overlay val="0"/>
    </c:title>
    <c:plotArea>
      <c:layout/>
      <c:barChart>
        <c:barDir val="col"/>
        <c:grouping val="clustered"/>
        <c:varyColors val="0"/>
        <c:ser>
          <c:idx val="0"/>
          <c:order val="0"/>
          <c:tx>
            <c:v>Revenue</c:v>
          </c:tx>
          <c:spPr>
            <a:solidFill xmlns:a="http://schemas.openxmlformats.org/drawingml/2006/main">
              <a:srgbClr val="1B2A4A"/>
            </a:solidFill>
          </c:spPr>
          <c:cat>
            <c:strLit>
              <c:ptCount val="8"/>
              <c:pt idx="0">
                <c:v>Q1 2024</c:v>
              </c:pt>
              <c:pt idx="1">
                <c:v>Q2 2024</c:v>
              </c:pt>
              <c:pt idx="2">
                <c:v>Q3 2024</c:v>
              </c:pt>
              <c:pt idx="3">
                <c:v>Q4 2024</c:v>
              </c:pt>
              <c:pt idx="4">
                <c:v>Q1 2025</c:v>
              </c:pt>
              <c:pt idx="5">
                <c:v>Q2 2025</c:v>
              </c:pt>
              <c:pt idx="6">
                <c:v>Q3 2025</c:v>
              </c:pt>
              <c:pt idx="7">
                <c:v>Q4 2025</c:v>
              </c:pt>
            </c:strLit>
          </c:cat>
          <c:val>
            <c:numLit>
              <c:formatCode>General</c:formatCode>
              <c:ptCount val="8"/>
              <c:pt idx="0">
                <c:v>520</c:v>
              </c:pt>
              <c:pt idx="1">
                <c:v>545</c:v>
              </c:pt>
              <c:pt idx="2">
                <c:v>580</c:v>
              </c:pt>
              <c:pt idx="3">
                <c:v>635</c:v>
              </c:pt>
              <c:pt idx="4">
                <c:v>640</c:v>
              </c:pt>
              <c:pt idx="5">
                <c:v>680</c:v>
              </c:pt>
              <c:pt idx="6">
                <c:v>720</c:v>
              </c:pt>
              <c:pt idx="7">
                <c:v>760</c:v>
              </c:pt>
            </c:numLit>
          </c:val>
        </c:ser>
        <c:gapWidth val="150"/>
        <c:axId val="1"/>
        <c:axId val="2"/>
      </c:barChart>
      <c:catAx>
        <c:axId val="1"/>
        <c:scaling>
          <c:orientation val="minMax"/>
        </c:scaling>
        <c:delete val="0"/>
        <c:axPos val="b"/>
        <c:majorTickMark val="out"/>
        <c:minorTickMark val="none"/>
        <c:tickLblPos val="nextTo"/>
        <c:crossAx val="2"/>
        <c:crosses val="autoZero"/>
        <c:auto val="1"/>
        <c:lblAlgn val="ctr"/>
        <c:lblOffset val="100"/>
      </c:catAx>
      <c:valAx>
        <c:axId val="2"/>
        <c:scaling>
          <c:orientation val="minMax"/>
        </c:scaling>
        <c:delete val="0"/>
        <c:axPos val="l"/>
        <c:majorGridlines>
          <c:spPr>
            <a:ln xmlns:a="http://schemas.openxmlformats.org/drawingml/2006/main" w="6350">
              <a:solidFill>
                <a:srgbClr val="E0E0E0"/>
              </a:solidFill>
              <a:prstDash val="sysDot"/>
            </a:ln>
          </c:spPr>
        </c:majorGridlines>
        <c:title>
          <c:tx>
            <c:rich>
              <a:bodyPr xmlns:a="http://schemas.openxmlformats.org/drawingml/2006/main"/>
              <a:lstStyle xmlns:a="http://schemas.openxmlformats.org/drawingml/2006/main"/>
              <a:p xmlns:a="http://schemas.openxmlformats.org/drawingml/2006/main">
                <a:pPr>
                  <a:defRPr sz="1400" b="1"/>
                </a:pPr>
                <a:r>
                  <a:rPr lang="en-US" sz="1400" b="1"/>
                  <a:t>Revenue (M USD)</a:t>
                </a:r>
              </a:p>
            </c:rich>
          </c:tx>
          <c:overlay val="0"/>
        </c:title>
        <c:numFmt formatCode="General" sourceLinked="1"/>
        <c:majorTickMark val="out"/>
        <c:minorTickMark val="none"/>
        <c:tickLblPos val="nextTo"/>
        <c:crossAx val="1"/>
        <c:crosses val="autoZero"/>
        <c:crossBetween val="between"/>
      </c:valAx>
    </c:plotArea>
    <c:legend>
      <c:legendPos val="b"/>
      <c:overlay val="0"/>
    </c:legend>
    <c:plotVisOnly val="1"/>
    <c:dispBlanksAs val="gap"/>
  </c:chart>
  <c:spPr>
    <a:solidFill xmlns:a="http://schemas.openxmlformats.org/drawingml/2006/main">
      <a:srgbClr val="FAFAFA"/>
    </a:solidFill>
  </c:spPr>
</c:chartSpace>
</file>