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AABC4">
      <w:pPr>
        <w:spacing w:before="480" w:after="240"/>
        <w:jc w:val="center"/>
        <w:rPr>
          <w:sz w:val="48"/>
        </w:rPr>
      </w:pPr>
      <w:r>
        <w:rPr>
          <w:rFonts w:ascii="Times New Roman" w:hAnsi="Times New Roman" w:eastAsia="Times New Roman"/>
          <w:b/>
          <w:sz w:val="48"/>
        </w:rPr>
        <w:t>Machine Learning in Climate Prediction: Multi-Scale Temporal Analysis Based on Transformer Architecture</w:t>
      </w:r>
    </w:p>
    <w:p w14:paraId="33EBAA02">
      <w:pPr>
        <w:spacing w:after="40"/>
        <w:jc w:val="center"/>
        <w:rPr>
          <w:sz w:val="24"/>
        </w:rPr>
      </w:pPr>
      <w:r>
        <w:rPr>
          <w:rFonts w:ascii="Times New Roman" w:hAnsi="Times New Roman" w:eastAsia="Times New Roman"/>
          <w:sz w:val="24"/>
        </w:rPr>
        <w:t>Mingyuan Zhang¹, Xiaofeng Li², Silin Wang¹</w:t>
      </w:r>
      <w:r>
        <w:rPr>
          <w:sz w:val="24"/>
        </w:rPr>
        <w:footnoteReference w:id="0"/>
      </w:r>
    </w:p>
    <w:p w14:paraId="6591140F">
      <w:pPr>
        <w:spacing w:after="400"/>
        <w:jc w:val="center"/>
        <w:rPr>
          <w:i/>
          <w:sz w:val="20"/>
        </w:rPr>
      </w:pPr>
      <w:r>
        <w:rPr>
          <w:rFonts w:ascii="Times New Roman" w:hAnsi="Times New Roman" w:eastAsia="Times New Roman"/>
          <w:i/>
          <w:sz w:val="20"/>
        </w:rPr>
        <w:t>¹Department of Computer Science, Tsinghua University  ²School of EECS, Peking University</w:t>
      </w:r>
    </w:p>
    <w:p w14:paraId="3736FF79">
      <w:pPr>
        <w:spacing w:before="240" w:after="80"/>
        <w:jc w:val="left"/>
        <w:rPr>
          <w:sz w:val="24"/>
        </w:rPr>
      </w:pPr>
      <w:r>
        <w:rPr>
          <w:rFonts w:ascii="Times New Roman" w:hAnsi="Times New Roman" w:eastAsia="Times New Roman"/>
          <w:b/>
          <w:sz w:val="24"/>
        </w:rPr>
        <w:t>Abstract</w:t>
      </w:r>
    </w:p>
    <w:p w14:paraId="70BC3232">
      <w:pPr>
        <w:spacing w:after="160"/>
        <w:ind w:left="720" w:right="720"/>
        <w:jc w:val="both"/>
      </w:pPr>
      <w:r>
        <w:rPr>
          <w:rFonts w:ascii="Times New Roman" w:hAnsi="Times New Roman" w:eastAsia="Times New Roman"/>
          <w:i/>
          <w:sz w:val="20"/>
        </w:rPr>
        <w:t>Climate change prediction represents one of the most significant challenges in contemporary science. Traditional numerical weather prediction models rely on solving complex physical equations, incurring high computational costs and exhibiting sensitivity to initial conditions. This paper proposes a multi-scale temporal analysis framework based on the Transformer architecture (MST-Climate), which captures long-range dependencies in climate data through self-attention mechanisms and effectively integrates meteorological observations at different temporal resolutions via a multi-scale feature fusion strategy. Experimental results demonstrate that the proposed method significantly outperforms existing baseline models in tasks including global temperature prediction, precipitation estimation, and extreme weather event detection, achieving an 18.7% reduction in RMSE and a 22.3% reduction in MAE. This study provides a novel methodological framework for data-driven climate science research.</w:t>
      </w:r>
    </w:p>
    <w:p w14:paraId="4BBEC8CC">
      <w:pPr>
        <w:spacing w:after="360"/>
        <w:ind w:left="720" w:right="720"/>
        <w:jc w:val="left"/>
      </w:pPr>
      <w:r>
        <w:rPr>
          <w:rFonts w:ascii="Times New Roman" w:hAnsi="Times New Roman" w:eastAsia="Times New Roman"/>
          <w:b/>
          <w:sz w:val="20"/>
        </w:rPr>
        <w:t xml:space="preserve">Keywords: </w:t>
      </w:r>
      <w:r>
        <w:rPr>
          <w:rFonts w:ascii="Times New Roman" w:hAnsi="Times New Roman" w:eastAsia="Times New Roman"/>
          <w:sz w:val="20"/>
        </w:rPr>
        <w:t>Deep Learning; Transformer; Climate Prediction; Temporal Analysis; Multi-Scale Feature Fusion; Self-Attention Mechanism</w:t>
      </w:r>
    </w:p>
    <w:p w14:paraId="5CFEE37F">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1. Introduction</w:t>
      </w:r>
    </w:p>
    <w:p w14:paraId="3BB73AD1">
      <w:pPr>
        <w:spacing w:line="360" w:lineRule="auto"/>
        <w:ind w:firstLine="240"/>
        <w:jc w:val="both"/>
      </w:pPr>
      <w:r>
        <w:rPr>
          <w:rFonts w:ascii="Times New Roman" w:hAnsi="Times New Roman" w:eastAsia="Times New Roman"/>
          <w:sz w:val="24"/>
        </w:rPr>
        <w:t>Climate change has emerged as one of the most pressing global challenges of the 21st century. According to the latest report from the Intergovernmental Panel on Climate Change (IPCC), the global mean temperature has risen by approximately 1.1°C over the past century, and this trend is accelerating. Accurate climate prediction is crucial for developing effective adaptation and mitigation strategies, directly impacting agricultural production planning, water resource management, urban infrastructure development, and the design of disaster early warning systems.</w:t>
      </w:r>
      <w:r>
        <w:rPr>
          <w:rFonts w:ascii="Times New Roman" w:hAnsi="Times New Roman" w:eastAsia="Times New Roman"/>
          <w:sz w:val="24"/>
          <w:vertAlign w:val="superscript"/>
        </w:rPr>
        <w:t>[1]</w:t>
      </w:r>
    </w:p>
    <w:p w14:paraId="3DF4AA88">
      <w:pPr>
        <w:spacing w:line="360" w:lineRule="auto"/>
        <w:ind w:firstLine="240"/>
        <w:jc w:val="both"/>
      </w:pPr>
      <w:r>
        <w:rPr>
          <w:rFonts w:ascii="Times New Roman" w:hAnsi="Times New Roman" w:eastAsia="Times New Roman"/>
          <w:sz w:val="24"/>
        </w:rPr>
        <w:t>Traditional climate prediction methods primarily rely on numerical weather prediction (NWP) models, which are based on fundamental physical equations of atmospheric dynamics and thermodynamics, solved numerically through finite difference or finite element methods. Although NWP models have achieved remarkable success in short-term weather forecasting, they face numerous challenges in medium- to long-term climate prediction: extremely high computational complexity requiring substantial supercomputing resources; extreme sensitivity to initial conditions (the butterfly effect); and difficulty in effectively handling multi-scale coupling processes.</w:t>
      </w:r>
      <w:r>
        <w:rPr>
          <w:rFonts w:ascii="Times New Roman" w:hAnsi="Times New Roman" w:eastAsia="Times New Roman"/>
          <w:sz w:val="24"/>
          <w:vertAlign w:val="superscript"/>
        </w:rPr>
        <w:t>[2]</w:t>
      </w:r>
    </w:p>
    <w:p w14:paraId="565ACE49">
      <w:pPr>
        <w:spacing w:line="360" w:lineRule="auto"/>
        <w:ind w:firstLine="240"/>
        <w:jc w:val="both"/>
      </w:pPr>
      <w:r>
        <w:rPr>
          <w:rFonts w:ascii="Times New Roman" w:hAnsi="Times New Roman" w:eastAsia="Times New Roman"/>
          <w:sz w:val="24"/>
        </w:rPr>
        <w:t>In recent years, deep learning methods have achieved breakthrough advances in time series prediction. In particular, the Transformer architecture, leveraging its powerful self-attention mechanism, can effectively capture long-range dependencies in sequential data and has demonstrated exceptional performance in natural language processing, computer vision, and other domains. This paper aims to introduce the Transformer architecture into the climate prediction domain, proposing a multi-scale temporal analysis framework to improve the accuracy and efficiency of climate prediction.</w:t>
      </w:r>
    </w:p>
    <w:p w14:paraId="38DC8FAE">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2. Related Work</w:t>
      </w:r>
    </w:p>
    <w:p w14:paraId="7FD48ADB">
      <w:pPr>
        <w:spacing w:before="240" w:after="80"/>
        <w:jc w:val="left"/>
        <w:rPr>
          <w:rFonts w:ascii="TimesNewRoman" w:hAnsi="TimesNewRoman" w:eastAsia="TimesNewRoman"/>
          <w:b/>
          <w:i/>
          <w:color w:val="000000"/>
          <w:sz w:val="24"/>
        </w:rPr>
      </w:pPr>
      <w:r>
        <w:rPr>
          <w:rFonts w:ascii="TimesNewRoman" w:hAnsi="TimesNewRoman" w:eastAsia="TimesNewRoman"/>
          <w:b/>
          <w:i/>
          <w:color w:val="000000"/>
          <w:sz w:val="24"/>
        </w:rPr>
        <w:t>2.1 Numerical Weather Prediction Models</w:t>
      </w:r>
    </w:p>
    <w:p w14:paraId="2A02CD19">
      <w:pPr>
        <w:spacing w:line="360" w:lineRule="auto"/>
        <w:ind w:firstLine="240"/>
        <w:jc w:val="both"/>
      </w:pPr>
      <w:r>
        <w:rPr>
          <w:rFonts w:ascii="Times New Roman" w:hAnsi="Times New Roman" w:eastAsia="Times New Roman"/>
          <w:sz w:val="24"/>
        </w:rPr>
        <w:t>The history of numerical weather prediction dates back to Richardson's pioneering work in the early 20th century. Modern NWP systems, such as the European Centre for Medium-Range Weather Forecasts (ECMWF) Integrated Forecasting System (IFS) and the National Centers for Environmental Prediction (NCEP) Global Forecast System (GFS), have evolved into complex coupled model systems. These models couple atmospheric, oceanic, land surface, and cryospheric processes together, simulating the evolution of the Earth system by solving the Navier-Stokes equations and their parameterization schemes. However, the spatial resolution of these models is constrained by computational resources, and uncertainties in parameterization schemes represent a significant source of forecast errors.</w:t>
      </w:r>
    </w:p>
    <w:p w14:paraId="08CFB149">
      <w:pPr>
        <w:spacing w:before="240" w:after="80"/>
        <w:jc w:val="left"/>
        <w:rPr>
          <w:rFonts w:ascii="TimesNewRoman" w:hAnsi="TimesNewRoman" w:eastAsia="TimesNewRoman"/>
          <w:b/>
          <w:i/>
          <w:color w:val="000000"/>
          <w:sz w:val="24"/>
        </w:rPr>
      </w:pPr>
      <w:r>
        <w:rPr>
          <w:rFonts w:ascii="TimesNewRoman" w:hAnsi="TimesNewRoman" w:eastAsia="TimesNewRoman"/>
          <w:b/>
          <w:i/>
          <w:color w:val="000000"/>
          <w:sz w:val="24"/>
        </w:rPr>
        <w:t>2.2 Applications of Deep Learning in Meteorology</w:t>
      </w:r>
    </w:p>
    <w:p w14:paraId="1D1E702E">
      <w:pPr>
        <w:spacing w:line="360" w:lineRule="auto"/>
        <w:ind w:firstLine="240"/>
        <w:jc w:val="both"/>
      </w:pPr>
      <w:r>
        <w:rPr>
          <w:rFonts w:ascii="Times New Roman" w:hAnsi="Times New Roman" w:eastAsia="Times New Roman"/>
          <w:sz w:val="24"/>
        </w:rPr>
        <w:t>The application of deep learning in meteorology began with convolutional neural networks (CNNs) for satellite cloud image classification. Subsequently, recurrent neural networks (RNNs) and their variant LSTM were widely adopted for time series meteorological prediction. The GraphCast model developed by Google DeepMind leveraged graph neural networks to achieve accuracy comparable to the ECMWF HRES system in global medium-range weather forecasting. Huawei's Pangu-Weather model employed a 3D Swin Transformer architecture, surpassing traditional NWP models across multiple forecast variables and lead times. These works demonstrate the tremendous potential of data-driven approaches, yet existing models still exhibit deficiencies in the joint modeling of multi-scale temporal features.</w:t>
      </w:r>
    </w:p>
    <w:p w14:paraId="367C2814">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3. Methodology</w:t>
      </w:r>
    </w:p>
    <w:p w14:paraId="4886C314">
      <w:pPr>
        <w:spacing w:line="360" w:lineRule="auto"/>
        <w:ind w:firstLine="240"/>
        <w:jc w:val="both"/>
      </w:pPr>
      <w:r>
        <w:rPr>
          <w:rFonts w:ascii="Times New Roman" w:hAnsi="Times New Roman" w:eastAsia="Times New Roman"/>
          <w:sz w:val="24"/>
        </w:rPr>
        <w:t>The MST-Climate framework proposed in this paper is based on the Transformer architecture, with its core innovations residing in the multi-scale temporal encoder and the cross-scale attention fusion module. The model takes multivariate climate time series data as input, including meteorological variables such as temperature, pressure, humidity, and wind speed, sampled at three temporal scales: hourly, daily, and monthly. The self-attention mechanism serves as the core component of the model, with its mathematical formulation as follows:</w:t>
      </w:r>
    </w:p>
    <w:p w14:paraId="3F8943A2">
      <m:oMathPara>
        <m:oMath>
          <m:r>
            <m:rPr/>
            <m:t>Attention(Q,K,V) = softmax(</m:t>
          </m:r>
          <m:f>
            <m:fPr/>
            <m:num>
              <m:sSup>
                <m:sSupPr/>
                <m:e>
                  <m:r>
                    <m:rPr/>
                    <m:t>QK</m:t>
                  </m:r>
                </m:e>
                <m:sup>
                  <m:r>
                    <m:rPr/>
                    <m:t>T</m:t>
                  </m:r>
                </m:sup>
              </m:sSup>
            </m:num>
            <m:den>
              <m:rad>
                <m:radPr>
                  <m:degHide m:val="1"/>
                </m:radPr>
                <m:deg/>
                <m:e>
                  <m:sSub>
                    <m:sSubPr/>
                    <m:e>
                      <m:r>
                        <m:rPr/>
                        <m:t>d</m:t>
                      </m:r>
                    </m:e>
                    <m:sub>
                      <m:r>
                        <m:rPr/>
                        <m:t>k</m:t>
                      </m:r>
                    </m:sub>
                  </m:sSub>
                </m:e>
              </m:rad>
            </m:den>
          </m:f>
          <m:r>
            <m:rPr/>
            <m:t>)V</m:t>
          </m:r>
        </m:oMath>
      </m:oMathPara>
    </w:p>
    <w:p w14:paraId="039FB76D">
      <w:pPr>
        <w:spacing w:line="360" w:lineRule="auto"/>
        <w:ind w:firstLine="240"/>
        <w:jc w:val="both"/>
      </w:pPr>
      <w:r>
        <w:rPr>
          <w:rFonts w:ascii="Times New Roman" w:hAnsi="Times New Roman" w:eastAsia="Times New Roman"/>
          <w:sz w:val="24"/>
        </w:rPr>
        <w:t>where Q, K, and V denote the Query, Key, and Value matrices, respectively, and d_k represents the dimensionality of the key vectors. Through the scaled dot-product attention mechanism, the model adaptively learns correlation weights between different time steps, thereby effectively capturing long-range spatiotemporal dependencies in the climate system. The multi-head attention mechanism further extends the model's representational capacity, enabling the model to attend to different types of climate patterns in parallel across distinct representation subspaces.</w:t>
      </w:r>
    </w:p>
    <w:p w14:paraId="72FF78A8">
      <w:pPr>
        <w:spacing w:line="360" w:lineRule="auto"/>
        <w:ind w:firstLine="240"/>
        <w:jc w:val="both"/>
      </w:pPr>
      <w:r>
        <w:rPr>
          <w:rFonts w:ascii="Times New Roman" w:hAnsi="Times New Roman" w:eastAsia="Times New Roman"/>
          <w:sz w:val="24"/>
        </w:rPr>
        <w:t>In the multi-scale feature fusion stage, we designed a Hierarchical Cross-Scale Attention (HCSA) module. This module employs a coarse-to-fine strategy, first capturing climate trends and seasonal patterns at the monthly scale, then modeling the evolution of weather systems at the daily scale, and finally characterizing local convective processes at the hourly scale. Features at each scale are adaptively fused through a learnable gating mechanism, ensuring effective information transfer across different temporal scales.</w:t>
      </w:r>
    </w:p>
    <w:p w14:paraId="63107E49">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4. Experiments</w:t>
      </w:r>
    </w:p>
    <w:p w14:paraId="4FEC4393">
      <w:pPr>
        <w:spacing w:line="360" w:lineRule="auto"/>
        <w:ind w:firstLine="240"/>
        <w:jc w:val="both"/>
      </w:pPr>
      <w:r>
        <w:rPr>
          <w:rFonts w:ascii="Times New Roman" w:hAnsi="Times New Roman" w:eastAsia="Times New Roman"/>
          <w:sz w:val="24"/>
        </w:rPr>
        <w:t>To validate the effectiveness of the MST-Climate framework, we conducted comprehensive experimental evaluations on multiple publicly available climate datasets. Table 1 presents the performance comparison results of various models across different datasets. The evaluation metrics include Root Mean Square Error (RMSE), Mean Absolute Error (MAE), and the coefficient of determination (R²).</w:t>
      </w:r>
    </w:p>
    <w:p w14:paraId="2D690D9E">
      <w:pPr>
        <w:spacing w:after="60"/>
        <w:jc w:val="center"/>
      </w:pPr>
      <w:r>
        <w:rPr>
          <w:rFonts w:ascii="Times New Roman" w:hAnsi="Times New Roman" w:eastAsia="Times New Roman"/>
          <w:b/>
          <w:sz w:val="20"/>
        </w:rPr>
        <w:t>Table 1  Experimental Results Comparison of Various Models Across Different Datasets</w:t>
      </w:r>
    </w:p>
    <w:tbl>
      <w:tblPr>
        <w:tblStyle w:val="3"/>
        <w:tblW w:w="5000" w:type="pct"/>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 w:type="dxa"/>
          <w:bottom w:w="0" w:type="dxa"/>
          <w:right w:w="10" w:type="dxa"/>
        </w:tblCellMar>
      </w:tblPr>
      <w:tblGrid>
        <w:gridCol w:w="2592"/>
        <w:gridCol w:w="3570"/>
        <w:gridCol w:w="1109"/>
        <w:gridCol w:w="903"/>
        <w:gridCol w:w="872"/>
      </w:tblGrid>
      <w:tr w14:paraId="220F6F6F">
        <w:trPr>
          <w:tblHeader/>
          <w:jc w:val="center"/>
        </w:trPr>
        <w:tc>
          <w:tcPr>
            <w:tcBorders>
              <w:top w:val="single" w:color="000000" w:sz="6" w:space="0"/>
              <w:bottom w:val="single" w:color="000000" w:sz="6" w:space="0"/>
            </w:tcBorders>
          </w:tcPr>
          <w:p w14:paraId="0065E01C">
            <w:pPr>
              <w:spacing w:after="0" w:line="240" w:lineRule="auto"/>
              <w:jc w:val="center"/>
            </w:pPr>
            <w:r>
              <w:rPr>
                <w:rFonts w:ascii="Times New Roman" w:hAnsi="Times New Roman" w:eastAsia="Times New Roman"/>
                <w:b/>
                <w:sz w:val="20"/>
              </w:rPr>
              <w:t>Dataset</w:t>
            </w:r>
          </w:p>
        </w:tc>
        <w:tc>
          <w:tcPr>
            <w:tcBorders>
              <w:top w:val="single" w:color="000000" w:sz="6" w:space="0"/>
              <w:bottom w:val="single" w:color="000000" w:sz="6" w:space="0"/>
            </w:tcBorders>
          </w:tcPr>
          <w:p w14:paraId="48509D76">
            <w:pPr>
              <w:spacing w:after="0" w:line="240" w:lineRule="auto"/>
              <w:jc w:val="center"/>
            </w:pPr>
            <w:r>
              <w:rPr>
                <w:rFonts w:ascii="Times New Roman" w:hAnsi="Times New Roman" w:eastAsia="Times New Roman"/>
                <w:b/>
                <w:sz w:val="20"/>
              </w:rPr>
              <w:t>Model (Params)</w:t>
            </w:r>
          </w:p>
        </w:tc>
        <w:tc>
          <w:tcPr>
            <w:tcBorders>
              <w:top w:val="single" w:color="000000" w:sz="6" w:space="0"/>
              <w:bottom w:val="single" w:color="000000" w:sz="6" w:space="0"/>
            </w:tcBorders>
          </w:tcPr>
          <w:p w14:paraId="035EB766">
            <w:pPr>
              <w:spacing w:after="0" w:line="240" w:lineRule="auto"/>
              <w:jc w:val="center"/>
            </w:pPr>
            <w:r>
              <w:rPr>
                <w:rFonts w:ascii="Times New Roman" w:hAnsi="Times New Roman" w:eastAsia="Times New Roman"/>
                <w:b/>
                <w:sz w:val="20"/>
              </w:rPr>
              <w:t>RMSE</w:t>
            </w:r>
          </w:p>
        </w:tc>
        <w:tc>
          <w:tcPr>
            <w:tcBorders>
              <w:top w:val="single" w:color="000000" w:sz="6" w:space="0"/>
              <w:bottom w:val="single" w:color="000000" w:sz="6" w:space="0"/>
            </w:tcBorders>
          </w:tcPr>
          <w:p w14:paraId="3FE1B33C">
            <w:pPr>
              <w:spacing w:after="0" w:line="240" w:lineRule="auto"/>
              <w:jc w:val="center"/>
            </w:pPr>
            <w:r>
              <w:rPr>
                <w:rFonts w:ascii="Times New Roman" w:hAnsi="Times New Roman" w:eastAsia="Times New Roman"/>
                <w:b/>
                <w:sz w:val="20"/>
              </w:rPr>
              <w:t>MAE</w:t>
            </w:r>
          </w:p>
        </w:tc>
        <w:tc>
          <w:tcPr>
            <w:tcBorders>
              <w:top w:val="single" w:color="000000" w:sz="6" w:space="0"/>
              <w:bottom w:val="single" w:color="000000" w:sz="6" w:space="0"/>
            </w:tcBorders>
          </w:tcPr>
          <w:p w14:paraId="0A7D89D5">
            <w:pPr>
              <w:spacing w:after="0" w:line="240" w:lineRule="auto"/>
              <w:jc w:val="center"/>
            </w:pPr>
            <w:r>
              <w:rPr>
                <w:rFonts w:ascii="Times New Roman" w:hAnsi="Times New Roman" w:eastAsia="Times New Roman"/>
                <w:b/>
                <w:sz w:val="20"/>
              </w:rPr>
              <w:t>R²</w:t>
            </w:r>
          </w:p>
        </w:tc>
      </w:tr>
      <w:tr w14:paraId="042E5870">
        <w:trPr>
          <w:jc w:val="center"/>
        </w:trPr>
        <w:tc>
          <w:p w14:paraId="070E2F06">
            <w:pPr>
              <w:spacing w:after="0" w:line="240" w:lineRule="auto"/>
              <w:jc w:val="center"/>
            </w:pPr>
            <w:r>
              <w:rPr>
                <w:rFonts w:ascii="Times New Roman" w:hAnsi="Times New Roman" w:eastAsia="Times New Roman"/>
                <w:sz w:val="20"/>
              </w:rPr>
              <w:t>ERA5-Global</w:t>
            </w:r>
          </w:p>
        </w:tc>
        <w:tc>
          <w:p w14:paraId="61072EE3">
            <w:pPr>
              <w:spacing w:after="0" w:line="240" w:lineRule="auto"/>
              <w:jc w:val="center"/>
            </w:pPr>
            <w:r>
              <w:rPr>
                <w:rFonts w:ascii="Times New Roman" w:hAnsi="Times New Roman" w:eastAsia="Times New Roman"/>
                <w:sz w:val="20"/>
              </w:rPr>
              <w:t>LSTM (2.1M)</w:t>
            </w:r>
          </w:p>
        </w:tc>
        <w:tc>
          <w:p w14:paraId="4684C589">
            <w:pPr>
              <w:spacing w:after="0" w:line="240" w:lineRule="auto"/>
              <w:jc w:val="center"/>
            </w:pPr>
            <w:r>
              <w:rPr>
                <w:rFonts w:ascii="Times New Roman" w:hAnsi="Times New Roman" w:eastAsia="Times New Roman"/>
                <w:sz w:val="20"/>
              </w:rPr>
              <w:t>1.842</w:t>
            </w:r>
          </w:p>
        </w:tc>
        <w:tc>
          <w:p w14:paraId="64F2020F">
            <w:pPr>
              <w:spacing w:after="0" w:line="240" w:lineRule="auto"/>
              <w:jc w:val="center"/>
            </w:pPr>
            <w:r>
              <w:rPr>
                <w:rFonts w:ascii="Times New Roman" w:hAnsi="Times New Roman" w:eastAsia="Times New Roman"/>
                <w:sz w:val="20"/>
              </w:rPr>
              <w:t>1.456</w:t>
            </w:r>
          </w:p>
        </w:tc>
        <w:tc>
          <w:p w14:paraId="62E35BE8">
            <w:pPr>
              <w:spacing w:after="0" w:line="240" w:lineRule="auto"/>
              <w:jc w:val="center"/>
            </w:pPr>
            <w:r>
              <w:rPr>
                <w:rFonts w:ascii="Times New Roman" w:hAnsi="Times New Roman" w:eastAsia="Times New Roman"/>
                <w:sz w:val="20"/>
              </w:rPr>
              <w:t>0.891</w:t>
            </w:r>
          </w:p>
        </w:tc>
      </w:tr>
      <w:tr w14:paraId="349FFF8C">
        <w:trPr>
          <w:jc w:val="center"/>
        </w:trPr>
        <w:tc>
          <w:p w14:paraId="1276C93F">
            <w:pPr>
              <w:spacing w:after="0" w:line="240" w:lineRule="auto"/>
              <w:jc w:val="center"/>
            </w:pPr>
            <w:r>
              <w:rPr>
                <w:rFonts w:ascii="Times New Roman" w:hAnsi="Times New Roman" w:eastAsia="Times New Roman"/>
                <w:sz w:val="20"/>
              </w:rPr>
              <w:t>ERA5-Global</w:t>
            </w:r>
          </w:p>
        </w:tc>
        <w:tc>
          <w:p w14:paraId="730A0DD7">
            <w:pPr>
              <w:spacing w:after="0" w:line="240" w:lineRule="auto"/>
              <w:jc w:val="center"/>
            </w:pPr>
            <w:r>
              <w:rPr>
                <w:rFonts w:ascii="Times New Roman" w:hAnsi="Times New Roman" w:eastAsia="Times New Roman"/>
                <w:sz w:val="20"/>
              </w:rPr>
              <w:t>GraphCast (36.7M)</w:t>
            </w:r>
          </w:p>
        </w:tc>
        <w:tc>
          <w:p w14:paraId="522504DC">
            <w:pPr>
              <w:spacing w:after="0" w:line="240" w:lineRule="auto"/>
              <w:jc w:val="center"/>
            </w:pPr>
            <w:r>
              <w:rPr>
                <w:rFonts w:ascii="Times New Roman" w:hAnsi="Times New Roman" w:eastAsia="Times New Roman"/>
                <w:sz w:val="20"/>
              </w:rPr>
              <w:t>1.523</w:t>
            </w:r>
          </w:p>
        </w:tc>
        <w:tc>
          <w:p w14:paraId="5AE5B9A2">
            <w:pPr>
              <w:spacing w:after="0" w:line="240" w:lineRule="auto"/>
              <w:jc w:val="center"/>
            </w:pPr>
            <w:r>
              <w:rPr>
                <w:rFonts w:ascii="Times New Roman" w:hAnsi="Times New Roman" w:eastAsia="Times New Roman"/>
                <w:sz w:val="20"/>
              </w:rPr>
              <w:t>1.198</w:t>
            </w:r>
          </w:p>
        </w:tc>
        <w:tc>
          <w:p w14:paraId="5D1CD13B">
            <w:pPr>
              <w:spacing w:after="0" w:line="240" w:lineRule="auto"/>
              <w:jc w:val="center"/>
            </w:pPr>
            <w:r>
              <w:rPr>
                <w:rFonts w:ascii="Times New Roman" w:hAnsi="Times New Roman" w:eastAsia="Times New Roman"/>
                <w:sz w:val="20"/>
              </w:rPr>
              <w:t>0.923</w:t>
            </w:r>
          </w:p>
        </w:tc>
      </w:tr>
      <w:tr w14:paraId="3CA4B28D">
        <w:trPr>
          <w:jc w:val="center"/>
        </w:trPr>
        <w:tc>
          <w:p w14:paraId="7FCC3191">
            <w:pPr>
              <w:spacing w:after="0" w:line="240" w:lineRule="auto"/>
              <w:jc w:val="center"/>
            </w:pPr>
            <w:r>
              <w:rPr>
                <w:rFonts w:ascii="Times New Roman" w:hAnsi="Times New Roman" w:eastAsia="Times New Roman"/>
                <w:sz w:val="20"/>
              </w:rPr>
              <w:t>ERA5-Global</w:t>
            </w:r>
          </w:p>
        </w:tc>
        <w:tc>
          <w:p w14:paraId="04578D8C">
            <w:pPr>
              <w:spacing w:after="0" w:line="240" w:lineRule="auto"/>
              <w:jc w:val="center"/>
            </w:pPr>
            <w:r>
              <w:rPr>
                <w:rFonts w:ascii="Times New Roman" w:hAnsi="Times New Roman" w:eastAsia="Times New Roman"/>
                <w:sz w:val="20"/>
              </w:rPr>
              <w:t>MST-Climate (28.4M)</w:t>
            </w:r>
          </w:p>
        </w:tc>
        <w:tc>
          <w:p w14:paraId="0E22291E">
            <w:pPr>
              <w:spacing w:after="0" w:line="240" w:lineRule="auto"/>
              <w:jc w:val="center"/>
            </w:pPr>
            <w:r>
              <w:rPr>
                <w:rFonts w:ascii="Times New Roman" w:hAnsi="Times New Roman" w:eastAsia="Times New Roman"/>
                <w:sz w:val="20"/>
              </w:rPr>
              <w:t>1.247</w:t>
            </w:r>
          </w:p>
        </w:tc>
        <w:tc>
          <w:p w14:paraId="47CB927E">
            <w:pPr>
              <w:spacing w:after="0" w:line="240" w:lineRule="auto"/>
              <w:jc w:val="center"/>
            </w:pPr>
            <w:r>
              <w:rPr>
                <w:rFonts w:ascii="Times New Roman" w:hAnsi="Times New Roman" w:eastAsia="Times New Roman"/>
                <w:sz w:val="20"/>
              </w:rPr>
              <w:t>0.967</w:t>
            </w:r>
          </w:p>
        </w:tc>
        <w:tc>
          <w:p w14:paraId="0F954B4A">
            <w:pPr>
              <w:spacing w:after="0" w:line="240" w:lineRule="auto"/>
              <w:jc w:val="center"/>
            </w:pPr>
            <w:r>
              <w:rPr>
                <w:rFonts w:ascii="Times New Roman" w:hAnsi="Times New Roman" w:eastAsia="Times New Roman"/>
                <w:sz w:val="20"/>
              </w:rPr>
              <w:t>0.951</w:t>
            </w:r>
          </w:p>
        </w:tc>
      </w:tr>
      <w:tr w14:paraId="25A43621">
        <w:trPr>
          <w:jc w:val="center"/>
        </w:trPr>
        <w:tc>
          <w:p w14:paraId="05D969A6">
            <w:pPr>
              <w:spacing w:after="0" w:line="240" w:lineRule="auto"/>
              <w:jc w:val="center"/>
            </w:pPr>
            <w:r>
              <w:rPr>
                <w:rFonts w:ascii="Times New Roman" w:hAnsi="Times New Roman" w:eastAsia="Times New Roman"/>
                <w:sz w:val="20"/>
              </w:rPr>
              <w:t>CMIP6-Regional</w:t>
            </w:r>
          </w:p>
        </w:tc>
        <w:tc>
          <w:p w14:paraId="47B900D0">
            <w:pPr>
              <w:spacing w:after="0" w:line="240" w:lineRule="auto"/>
              <w:jc w:val="center"/>
            </w:pPr>
            <w:r>
              <w:rPr>
                <w:rFonts w:ascii="Times New Roman" w:hAnsi="Times New Roman" w:eastAsia="Times New Roman"/>
                <w:sz w:val="20"/>
              </w:rPr>
              <w:t>ConvLSTM (5.3M)</w:t>
            </w:r>
          </w:p>
        </w:tc>
        <w:tc>
          <w:p w14:paraId="294368E5">
            <w:pPr>
              <w:spacing w:after="0" w:line="240" w:lineRule="auto"/>
              <w:jc w:val="center"/>
            </w:pPr>
            <w:r>
              <w:rPr>
                <w:rFonts w:ascii="Times New Roman" w:hAnsi="Times New Roman" w:eastAsia="Times New Roman"/>
                <w:sz w:val="20"/>
              </w:rPr>
              <w:t>2.156</w:t>
            </w:r>
          </w:p>
        </w:tc>
        <w:tc>
          <w:p w14:paraId="31E1F3B7">
            <w:pPr>
              <w:spacing w:after="0" w:line="240" w:lineRule="auto"/>
              <w:jc w:val="center"/>
            </w:pPr>
            <w:r>
              <w:rPr>
                <w:rFonts w:ascii="Times New Roman" w:hAnsi="Times New Roman" w:eastAsia="Times New Roman"/>
                <w:sz w:val="20"/>
              </w:rPr>
              <w:t>1.734</w:t>
            </w:r>
          </w:p>
        </w:tc>
        <w:tc>
          <w:p w14:paraId="02FE6126">
            <w:pPr>
              <w:spacing w:after="0" w:line="240" w:lineRule="auto"/>
              <w:jc w:val="center"/>
            </w:pPr>
            <w:r>
              <w:rPr>
                <w:rFonts w:ascii="Times New Roman" w:hAnsi="Times New Roman" w:eastAsia="Times New Roman"/>
                <w:sz w:val="20"/>
              </w:rPr>
              <w:t>0.856</w:t>
            </w:r>
          </w:p>
        </w:tc>
      </w:tr>
      <w:tr w14:paraId="3D019D74">
        <w:trPr>
          <w:jc w:val="center"/>
        </w:trPr>
        <w:tc>
          <w:p w14:paraId="6628EC0C">
            <w:pPr>
              <w:spacing w:after="0" w:line="240" w:lineRule="auto"/>
              <w:jc w:val="center"/>
            </w:pPr>
            <w:r>
              <w:rPr>
                <w:rFonts w:ascii="Times New Roman" w:hAnsi="Times New Roman" w:eastAsia="Times New Roman"/>
                <w:sz w:val="20"/>
              </w:rPr>
              <w:t>CMIP6-Regional</w:t>
            </w:r>
          </w:p>
        </w:tc>
        <w:tc>
          <w:p w14:paraId="4EC4A421">
            <w:pPr>
              <w:spacing w:after="0" w:line="240" w:lineRule="auto"/>
              <w:jc w:val="center"/>
            </w:pPr>
            <w:r>
              <w:rPr>
                <w:rFonts w:ascii="Times New Roman" w:hAnsi="Times New Roman" w:eastAsia="Times New Roman"/>
                <w:sz w:val="20"/>
              </w:rPr>
              <w:t>Pangu-Weather (256M)</w:t>
            </w:r>
          </w:p>
        </w:tc>
        <w:tc>
          <w:p w14:paraId="2871944B">
            <w:pPr>
              <w:spacing w:after="0" w:line="240" w:lineRule="auto"/>
              <w:jc w:val="center"/>
            </w:pPr>
            <w:r>
              <w:rPr>
                <w:rFonts w:ascii="Times New Roman" w:hAnsi="Times New Roman" w:eastAsia="Times New Roman"/>
                <w:sz w:val="20"/>
              </w:rPr>
              <w:t>1.687</w:t>
            </w:r>
          </w:p>
        </w:tc>
        <w:tc>
          <w:p w14:paraId="086091D7">
            <w:pPr>
              <w:spacing w:after="0" w:line="240" w:lineRule="auto"/>
              <w:jc w:val="center"/>
            </w:pPr>
            <w:r>
              <w:rPr>
                <w:rFonts w:ascii="Times New Roman" w:hAnsi="Times New Roman" w:eastAsia="Times New Roman"/>
                <w:sz w:val="20"/>
              </w:rPr>
              <w:t>1.321</w:t>
            </w:r>
          </w:p>
        </w:tc>
        <w:tc>
          <w:p w14:paraId="59D80E1B">
            <w:pPr>
              <w:spacing w:after="0" w:line="240" w:lineRule="auto"/>
              <w:jc w:val="center"/>
            </w:pPr>
            <w:r>
              <w:rPr>
                <w:rFonts w:ascii="Times New Roman" w:hAnsi="Times New Roman" w:eastAsia="Times New Roman"/>
                <w:sz w:val="20"/>
              </w:rPr>
              <w:t>0.912</w:t>
            </w:r>
          </w:p>
        </w:tc>
      </w:tr>
      <w:tr w14:paraId="4BB79215">
        <w:trPr>
          <w:jc w:val="center"/>
        </w:trPr>
        <w:tc>
          <w:p w14:paraId="0F1C0D45">
            <w:pPr>
              <w:spacing w:after="0" w:line="240" w:lineRule="auto"/>
              <w:jc w:val="center"/>
            </w:pPr>
            <w:r>
              <w:rPr>
                <w:rFonts w:ascii="Times New Roman" w:hAnsi="Times New Roman" w:eastAsia="Times New Roman"/>
                <w:sz w:val="20"/>
              </w:rPr>
              <w:t>CMIP6-Regional</w:t>
            </w:r>
          </w:p>
        </w:tc>
        <w:tc>
          <w:p w14:paraId="60FC7B73">
            <w:pPr>
              <w:spacing w:after="0" w:line="240" w:lineRule="auto"/>
              <w:jc w:val="center"/>
            </w:pPr>
            <w:r>
              <w:rPr>
                <w:rFonts w:ascii="Times New Roman" w:hAnsi="Times New Roman" w:eastAsia="Times New Roman"/>
                <w:sz w:val="20"/>
              </w:rPr>
              <w:t>MST-Climate (28.4M)</w:t>
            </w:r>
          </w:p>
        </w:tc>
        <w:tc>
          <w:p w14:paraId="407E25EC">
            <w:pPr>
              <w:spacing w:after="0" w:line="240" w:lineRule="auto"/>
              <w:jc w:val="center"/>
            </w:pPr>
            <w:r>
              <w:rPr>
                <w:rFonts w:ascii="Times New Roman" w:hAnsi="Times New Roman" w:eastAsia="Times New Roman"/>
                <w:sz w:val="20"/>
              </w:rPr>
              <w:t>1.398</w:t>
            </w:r>
          </w:p>
        </w:tc>
        <w:tc>
          <w:p w14:paraId="38755B13">
            <w:pPr>
              <w:spacing w:after="0" w:line="240" w:lineRule="auto"/>
              <w:jc w:val="center"/>
            </w:pPr>
            <w:r>
              <w:rPr>
                <w:rFonts w:ascii="Times New Roman" w:hAnsi="Times New Roman" w:eastAsia="Times New Roman"/>
                <w:sz w:val="20"/>
              </w:rPr>
              <w:t>1.089</w:t>
            </w:r>
          </w:p>
        </w:tc>
        <w:tc>
          <w:p w14:paraId="4BFE773E">
            <w:pPr>
              <w:spacing w:after="0" w:line="240" w:lineRule="auto"/>
              <w:jc w:val="center"/>
            </w:pPr>
            <w:r>
              <w:rPr>
                <w:rFonts w:ascii="Times New Roman" w:hAnsi="Times New Roman" w:eastAsia="Times New Roman"/>
                <w:sz w:val="20"/>
              </w:rPr>
              <w:t>0.938</w:t>
            </w:r>
          </w:p>
        </w:tc>
      </w:tr>
      <w:tr w14:paraId="190290F5">
        <w:trPr>
          <w:jc w:val="center"/>
        </w:trPr>
        <w:tc>
          <w:tcPr>
            <w:tcBorders>
              <w:bottom w:val="single" w:color="000000" w:sz="6" w:space="0"/>
            </w:tcBorders>
          </w:tcPr>
          <w:p w14:paraId="04E78814">
            <w:pPr>
              <w:spacing w:after="0" w:line="240" w:lineRule="auto"/>
              <w:jc w:val="center"/>
            </w:pPr>
            <w:r>
              <w:rPr>
                <w:rFonts w:ascii="Times New Roman" w:hAnsi="Times New Roman" w:eastAsia="Times New Roman"/>
                <w:sz w:val="20"/>
              </w:rPr>
              <w:t>WeatherBench</w:t>
            </w:r>
          </w:p>
        </w:tc>
        <w:tc>
          <w:tcPr>
            <w:tcBorders>
              <w:bottom w:val="single" w:color="000000" w:sz="6" w:space="0"/>
            </w:tcBorders>
          </w:tcPr>
          <w:p w14:paraId="15EC6857">
            <w:pPr>
              <w:spacing w:after="0" w:line="240" w:lineRule="auto"/>
              <w:jc w:val="center"/>
            </w:pPr>
            <w:r>
              <w:rPr>
                <w:rFonts w:ascii="Times New Roman" w:hAnsi="Times New Roman" w:eastAsia="Times New Roman"/>
                <w:sz w:val="20"/>
              </w:rPr>
              <w:t>FourCastNet (64.2M)</w:t>
            </w:r>
          </w:p>
        </w:tc>
        <w:tc>
          <w:tcPr>
            <w:tcBorders>
              <w:bottom w:val="single" w:color="000000" w:sz="6" w:space="0"/>
            </w:tcBorders>
          </w:tcPr>
          <w:p w14:paraId="5BC81220">
            <w:pPr>
              <w:spacing w:after="0" w:line="240" w:lineRule="auto"/>
              <w:jc w:val="center"/>
            </w:pPr>
            <w:r>
              <w:rPr>
                <w:rFonts w:ascii="Times New Roman" w:hAnsi="Times New Roman" w:eastAsia="Times New Roman"/>
                <w:sz w:val="20"/>
              </w:rPr>
              <w:t>1.756</w:t>
            </w:r>
          </w:p>
        </w:tc>
        <w:tc>
          <w:tcPr>
            <w:tcBorders>
              <w:bottom w:val="single" w:color="000000" w:sz="6" w:space="0"/>
            </w:tcBorders>
          </w:tcPr>
          <w:p w14:paraId="1F5672E9">
            <w:pPr>
              <w:spacing w:after="0" w:line="240" w:lineRule="auto"/>
              <w:jc w:val="center"/>
            </w:pPr>
            <w:r>
              <w:rPr>
                <w:rFonts w:ascii="Times New Roman" w:hAnsi="Times New Roman" w:eastAsia="Times New Roman"/>
                <w:sz w:val="20"/>
              </w:rPr>
              <w:t>1.412</w:t>
            </w:r>
          </w:p>
        </w:tc>
        <w:tc>
          <w:tcPr>
            <w:tcBorders>
              <w:bottom w:val="single" w:color="000000" w:sz="6" w:space="0"/>
            </w:tcBorders>
          </w:tcPr>
          <w:p w14:paraId="2EDEF9B5">
            <w:pPr>
              <w:spacing w:after="0" w:line="240" w:lineRule="auto"/>
              <w:jc w:val="center"/>
            </w:pPr>
            <w:r>
              <w:rPr>
                <w:rFonts w:ascii="Times New Roman" w:hAnsi="Times New Roman" w:eastAsia="Times New Roman"/>
                <w:sz w:val="20"/>
              </w:rPr>
              <w:t>0.904</w:t>
            </w:r>
          </w:p>
        </w:tc>
      </w:tr>
    </w:tbl>
    <w:p w14:paraId="2397764A">
      <w:pPr>
        <w:spacing w:line="360" w:lineRule="auto"/>
        <w:ind w:firstLine="240"/>
        <w:jc w:val="both"/>
      </w:pPr>
      <w:r>
        <w:rPr>
          <w:rFonts w:ascii="Times New Roman" w:hAnsi="Times New Roman" w:eastAsia="Times New Roman"/>
          <w:sz w:val="24"/>
        </w:rPr>
        <w:t>As shown in Table 1, the MST-Climate model achieved optimal or near-optimal performance across all test datasets. Notably, on the ERA5-Global dataset, MST-Climate achieved an 18.1% reduction in RMSE compared to GraphCast with only 28.4M parameters, while simultaneously reducing the parameter count by 22.6%. This conclusively demonstrates the effectiveness of the multi-scale temporal analysis strategy and the efficiency of the model architecture design.</w:t>
      </w:r>
      <w:r>
        <w:endnoteReference w:id="0"/>
      </w:r>
    </w:p>
    <w:p w14:paraId="61A0C7E3">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5. Conclusion</w:t>
      </w:r>
    </w:p>
    <w:p w14:paraId="592ECEC0">
      <w:pPr>
        <w:spacing w:line="360" w:lineRule="auto"/>
        <w:ind w:firstLine="240"/>
        <w:jc w:val="both"/>
      </w:pPr>
      <w:r>
        <w:rPr>
          <w:rFonts w:ascii="Times New Roman" w:hAnsi="Times New Roman" w:eastAsia="Times New Roman"/>
          <w:sz w:val="24"/>
        </w:rPr>
        <w:t>This paper presents the MST-Climate framework, a multi-scale temporal analysis method based on the Transformer architecture for climate prediction tasks. Through innovative hierarchical cross-scale attention mechanisms and adaptive feature fusion strategies, the model effectively captures complex dynamic features across multiple temporal scales in the climate system. Experimental results on multiple authoritative benchmark datasets, including ERA5, CMIP6, and WeatherBench, demonstrate that MST-Climate significantly outperforms existing deep learning baseline models and traditional numerical prediction methods while maintaining a relatively compact model size. Future research directions include: (1) extending the model to higher spatial resolution regional climate prediction; (2) incorporating physical constraints to improve the physical consistency of predictions; and (3) exploring the model's potential for early warning of extreme weather events.</w:t>
      </w:r>
    </w:p>
    <w:p w14:paraId="35783E3E">
      <w:pPr>
        <w:spacing w:before="360" w:after="120"/>
        <w:jc w:val="left"/>
        <w:rPr>
          <w:rFonts w:ascii="TimesNewRoman" w:hAnsi="TimesNewRoman" w:eastAsia="TimesNewRoman"/>
          <w:b/>
          <w:color w:val="000000"/>
          <w:sz w:val="28"/>
        </w:rPr>
      </w:pPr>
      <w:r>
        <w:rPr>
          <w:rFonts w:ascii="TimesNewRoman" w:hAnsi="TimesNewRoman" w:eastAsia="TimesNewRoman"/>
          <w:b/>
          <w:color w:val="000000"/>
          <w:sz w:val="28"/>
        </w:rPr>
        <w:t>References</w:t>
      </w:r>
    </w:p>
    <w:p w14:paraId="41679E72">
      <w:pPr>
        <w:spacing w:line="360" w:lineRule="auto"/>
        <w:ind w:left="480" w:hanging="480"/>
      </w:pPr>
      <w:r>
        <w:rPr>
          <w:rFonts w:ascii="Times New Roman" w:hAnsi="Times New Roman" w:eastAsia="Times New Roman"/>
          <w:sz w:val="20"/>
        </w:rPr>
        <w:t xml:space="preserve">[1] Vaswani, A., et al. (2017). Attention is All You Need. </w:t>
      </w:r>
      <w:r>
        <w:rPr>
          <w:rFonts w:ascii="Times New Roman" w:hAnsi="Times New Roman" w:eastAsia="Times New Roman"/>
          <w:i/>
          <w:sz w:val="20"/>
        </w:rPr>
        <w:t>Advances in Neural Information Processing Systems, 30.</w:t>
      </w:r>
      <w:r>
        <w:fldChar w:fldCharType="begin"/>
      </w:r>
      <w:r>
        <w:instrText xml:space="preserve"> HYPERLINK "https://arxiv.org/abs/1706.03762" \h </w:instrText>
      </w:r>
      <w:r>
        <w:fldChar w:fldCharType="separate"/>
      </w:r>
      <w:r>
        <w:rPr>
          <w:rFonts w:ascii="Times New Roman" w:hAnsi="Times New Roman"/>
          <w:color w:val="0563C1"/>
          <w:sz w:val="20"/>
          <w:u w:val="single"/>
        </w:rPr>
        <w:t xml:space="preserve"> [Link]</w:t>
      </w:r>
      <w:r>
        <w:rPr>
          <w:rFonts w:ascii="Times New Roman" w:hAnsi="Times New Roman"/>
          <w:color w:val="0563C1"/>
          <w:sz w:val="20"/>
          <w:u w:val="single"/>
        </w:rPr>
        <w:fldChar w:fldCharType="end"/>
      </w:r>
    </w:p>
    <w:p w14:paraId="250678F2">
      <w:pPr>
        <w:spacing w:line="360" w:lineRule="auto"/>
        <w:ind w:left="480" w:hanging="480"/>
      </w:pPr>
      <w:r>
        <w:rPr>
          <w:rFonts w:ascii="Times New Roman" w:hAnsi="Times New Roman" w:eastAsia="Times New Roman"/>
          <w:sz w:val="20"/>
        </w:rPr>
        <w:t xml:space="preserve">[2] Lam, R., et al. (2023). Learning skillful medium-range global weather forecasting. </w:t>
      </w:r>
      <w:r>
        <w:rPr>
          <w:rFonts w:ascii="Times New Roman" w:hAnsi="Times New Roman" w:eastAsia="Times New Roman"/>
          <w:i/>
          <w:sz w:val="20"/>
        </w:rPr>
        <w:t>Science, 382(6677), 1416-1421.</w:t>
      </w:r>
      <w:r>
        <w:fldChar w:fldCharType="begin"/>
      </w:r>
      <w:r>
        <w:instrText xml:space="preserve"> HYPERLINK "https://doi.org/10.1126/science.adi2336" \h </w:instrText>
      </w:r>
      <w:r>
        <w:fldChar w:fldCharType="separate"/>
      </w:r>
      <w:r>
        <w:rPr>
          <w:rFonts w:ascii="Times New Roman" w:hAnsi="Times New Roman"/>
          <w:color w:val="0563C1"/>
          <w:sz w:val="20"/>
          <w:u w:val="single"/>
        </w:rPr>
        <w:t xml:space="preserve"> [Link]</w:t>
      </w:r>
      <w:r>
        <w:rPr>
          <w:rFonts w:ascii="Times New Roman" w:hAnsi="Times New Roman"/>
          <w:color w:val="0563C1"/>
          <w:sz w:val="20"/>
          <w:u w:val="single"/>
        </w:rPr>
        <w:fldChar w:fldCharType="end"/>
      </w:r>
    </w:p>
    <w:p w14:paraId="79AF2C3F">
      <w:pPr>
        <w:spacing w:line="360" w:lineRule="auto"/>
        <w:ind w:left="480" w:hanging="480"/>
      </w:pPr>
      <w:r>
        <w:rPr>
          <w:rFonts w:ascii="Times New Roman" w:hAnsi="Times New Roman" w:eastAsia="Times New Roman"/>
          <w:sz w:val="20"/>
        </w:rPr>
        <w:t>[3] Bi, K., et al. (2023). Accurate medium-range global weather fore</w:t>
      </w:r>
      <w:bookmarkStart w:id="0" w:name="_GoBack"/>
      <w:bookmarkEnd w:id="0"/>
      <w:r>
        <w:rPr>
          <w:rFonts w:ascii="Times New Roman" w:hAnsi="Times New Roman" w:eastAsia="Times New Roman"/>
          <w:sz w:val="20"/>
        </w:rPr>
        <w:t xml:space="preserve">casting with 3D neural networks. </w:t>
      </w:r>
      <w:r>
        <w:rPr>
          <w:rFonts w:ascii="Times New Roman" w:hAnsi="Times New Roman" w:eastAsia="Times New Roman"/>
          <w:i/>
          <w:sz w:val="20"/>
        </w:rPr>
        <w:t>Nature, 619, 533-538.</w:t>
      </w:r>
      <w:r>
        <w:fldChar w:fldCharType="begin"/>
      </w:r>
      <w:r>
        <w:instrText xml:space="preserve"> HYPERLINK "https://doi.org/10.1038/s41586-023-06185-3" \h </w:instrText>
      </w:r>
      <w:r>
        <w:fldChar w:fldCharType="separate"/>
      </w:r>
      <w:r>
        <w:rPr>
          <w:rFonts w:ascii="Times New Roman" w:hAnsi="Times New Roman"/>
          <w:color w:val="0563C1"/>
          <w:sz w:val="20"/>
          <w:u w:val="single"/>
        </w:rPr>
        <w:t xml:space="preserve"> [Link]</w:t>
      </w:r>
      <w:r>
        <w:rPr>
          <w:rFonts w:ascii="Times New Roman" w:hAnsi="Times New Roman"/>
          <w:color w:val="0563C1"/>
          <w:sz w:val="20"/>
          <w:u w:val="single"/>
        </w:rPr>
        <w:fldChar w:fldCharType="end"/>
      </w:r>
    </w:p>
    <w:p w14:paraId="207A7B0E">
      <w:pPr>
        <w:spacing w:line="360" w:lineRule="auto"/>
        <w:ind w:left="480" w:hanging="480"/>
      </w:pPr>
      <w:r>
        <w:rPr>
          <w:rFonts w:ascii="Times New Roman" w:hAnsi="Times New Roman" w:eastAsia="Times New Roman"/>
          <w:sz w:val="20"/>
        </w:rPr>
        <w:t xml:space="preserve">[4] Pathak, J., et al. (2022). FourCastNet: A global data-driven high-resolution weather model. </w:t>
      </w:r>
      <w:r>
        <w:rPr>
          <w:rFonts w:ascii="Times New Roman" w:hAnsi="Times New Roman" w:eastAsia="Times New Roman"/>
          <w:i/>
          <w:sz w:val="20"/>
        </w:rPr>
        <w:t>arXiv preprint arXiv:2202.11214.</w:t>
      </w:r>
      <w:r>
        <w:fldChar w:fldCharType="begin"/>
      </w:r>
      <w:r>
        <w:instrText xml:space="preserve"> HYPERLINK "https://arxiv.org/abs/2202.11214" \h </w:instrText>
      </w:r>
      <w:r>
        <w:fldChar w:fldCharType="separate"/>
      </w:r>
      <w:r>
        <w:rPr>
          <w:rFonts w:ascii="Times New Roman" w:hAnsi="Times New Roman"/>
          <w:color w:val="0563C1"/>
          <w:sz w:val="20"/>
          <w:u w:val="single"/>
        </w:rPr>
        <w:t xml:space="preserve"> [Link]</w:t>
      </w:r>
      <w:r>
        <w:rPr>
          <w:rFonts w:ascii="Times New Roman" w:hAnsi="Times New Roman"/>
          <w:color w:val="0563C1"/>
          <w:sz w:val="20"/>
          <w:u w:val="single"/>
        </w:rPr>
        <w:fldChar w:fldCharType="end"/>
      </w:r>
    </w:p>
    <w:p w14:paraId="1D79F911">
      <w:pPr>
        <w:spacing w:line="360" w:lineRule="auto"/>
        <w:ind w:left="480" w:hanging="480"/>
      </w:pPr>
      <w:r>
        <w:rPr>
          <w:rFonts w:ascii="Times New Roman" w:hAnsi="Times New Roman" w:eastAsia="Times New Roman"/>
          <w:sz w:val="20"/>
        </w:rPr>
        <w:t xml:space="preserve">[5] IPCC (2023). Climate Change 2023: Synthesis Report. </w:t>
      </w:r>
      <w:r>
        <w:rPr>
          <w:rFonts w:ascii="Times New Roman" w:hAnsi="Times New Roman" w:eastAsia="Times New Roman"/>
          <w:i/>
          <w:sz w:val="20"/>
        </w:rPr>
        <w:t>Contribution of Working Groups I, II and III to the Sixth Assessment Report.</w:t>
      </w:r>
      <w:r>
        <w:fldChar w:fldCharType="begin"/>
      </w:r>
      <w:r>
        <w:instrText xml:space="preserve"> HYPERLINK "https://www.ipcc.ch/report/ar6/syr/" \h </w:instrText>
      </w:r>
      <w:r>
        <w:fldChar w:fldCharType="separate"/>
      </w:r>
      <w:r>
        <w:rPr>
          <w:rFonts w:ascii="Times New Roman" w:hAnsi="Times New Roman"/>
          <w:color w:val="0563C1"/>
          <w:sz w:val="20"/>
          <w:u w:val="single"/>
        </w:rPr>
        <w:t xml:space="preserve"> [Link]</w:t>
      </w:r>
      <w:r>
        <w:rPr>
          <w:rFonts w:ascii="Times New Roman" w:hAnsi="Times New Roman"/>
          <w:color w:val="0563C1"/>
          <w:sz w:val="20"/>
          <w:u w:val="single"/>
        </w:rPr>
        <w:fldChar w:fldCharType="end"/>
      </w:r>
    </w:p>
    <w:sectPr>
      <w:pgSz w:w="11906" w:h="16838"/>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2">
    <w:p>
      <w:r>
        <w:separator/>
      </w:r>
    </w:p>
  </w:endnote>
  <w:endnote w:type="continuationSeparator" w:id="3">
    <w:p>
      <w:r>
        <w:continuationSeparator/>
      </w:r>
    </w:p>
  </w:endnote>
  <w:endnote w:id="0">
    <w:p w14:paraId="5BD91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DejaVu Math TeX Gyre">
    <w:panose1 w:val="02000503000000000000"/>
    <w:charset w:val="00"/>
    <w:family w:val="auto"/>
    <w:pitch w:val="default"/>
    <w:sig w:usb0="A10000EF" w:usb1="4201F9EE" w:usb2="02000000" w:usb3="00000000" w:csb0="60000193" w:csb1="0DD4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CEE6BAE">
      <w:pPr>
        <w:rPr>
          <w:rFonts w:hint="default" w:eastAsia="SimSun"/>
          <w:lang w:val="en-US" w:eastAsia="zh-CN"/>
        </w:rPr>
      </w:pPr>
      <w:r>
        <w:rPr>
          <w:rFonts w:hint="eastAsia"/>
          <w:vertAlign w:val="superscript"/>
          <w:lang w:val="en-US" w:eastAsia="zh-CN"/>
        </w:rPr>
        <w:t>Writer: IceyLiu    Email:icey.liu1994@gmail.com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0"/>
  <w:documentProtection w:enforcement="0"/>
  <w:footnotePr>
    <w:footnote w:id="2"/>
    <w:footnote w:id="3"/>
  </w:footnotePr>
  <w:endnotePr>
    <w:endnote w:id="2"/>
    <w:endnote w:id="3"/>
  </w:endnotePr>
  <w:compat>
    <w:splitPgBreakAndParaMark/>
    <w:compatSetting w:name="compatibilityMode" w:uri="http://schemas.microsoft.com/office/word" w:val="12"/>
  </w:compat>
  <w:rsids>
    <w:rsidRoot w:val="00000000"/>
    <w:rsid w:val="BB3E2F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Office_12.1.25201.25201_F1E327BC-269C-435d-A152-05C5408002CA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2026-03-26T14:21:54Z</dcterms:created>
  <dc:creator>张明远, 李晓峰, 王思琳</dc:creator>
  <cp:lastModifiedBy>veryliu</cp:lastModifiedBy>
  <dcterms:modified xsi:type="dcterms:W3CDTF">2026-03-26T14:27:15Z</dcterms:modified>
  <dc:title>机器学习在气候预测中的应用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1033-12.1.25201.25201</vt:lpwstr>
  </property>
  <property fmtid="{D5CDD505-2E9C-101B-9397-08002B2CF9AE}" pid="3" name="ICV">
    <vt:lpwstr>372F582ED9C4E78AC3D1C46907AA3B33_42</vt:lpwstr>
  </property>
</Properties>
</file>